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ad237dcfdcfbe3ec209b1fed125ba4e7acf0"/>
    <w:p>
      <w:pPr>
        <w:pStyle w:val="Heading3"/>
      </w:pPr>
      <w: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Соколиная гора» за 2021 год</w:t>
      </w:r>
    </w:p>
    <w:p>
      <w:pPr>
        <w:pStyle w:val="FirstParagraph"/>
      </w:pPr>
      <w:r>
        <w:t xml:space="preserve">27.05.2022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 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Среднемесячная заработная плата за 2021 год (руб.коп.)*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Государственное казенное учреждение города Москвы «Инженерная служба района Соколиная гора»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Пьянков Алексей Сергеевич</w:t>
            </w:r>
          </w:p>
        </w:tc>
        <w:tc>
          <w:tcPr/>
          <w:p>
            <w:pPr>
              <w:jc w:val="left"/>
            </w:pPr>
            <w:r>
              <w:t xml:space="preserve">1 755 498,48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*Постановление Правительства Российской федерации от 24.12.2007г. № 922 «Об особенностях порядка исчисления средней заработной платы»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http://sokolinka.mos.ru/anti-corruption/information-on-income-expenses-about-property-and-obligations-of-property-character/detail/10831535.html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31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31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2025-03-30T00:43:50Z</dcterms:created>
  <dcterms:modified xsi:type="dcterms:W3CDTF">2025-03-30T00:43:50Z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