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30b3f1bc1740f5a961c86c16003d2296d64ff"/>
    <w:p>
      <w:pPr>
        <w:pStyle w:val="Heading3"/>
      </w:pPr>
      <w:r>
        <w:t xml:space="preserve">Приложение к приказу управы района Соколиная гора города Москвы от 23.11.2022 N 154. Список должностей государственной гражданской службы управы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e8f/49njp6eutiyaj05us8aprql2zpliss3k/2f8fec21b79ebb45c660d08a2ac67585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557/70aiwwow21z56h7134s30e4ipfw4j95e/2f8fec21b79ebb45c660d08a2ac67585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http://sokolinka.mos.ru/anti-corruption/information-on-income-expenses-about-property-and-obligations-of-property-character/detail/11357273.html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anti-corruption/information-on-income-expenses-about-property-and-obligations-of-property-character/detail/11357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anti-corruption/information-on-income-expenses-about-property-and-obligations-of-property-character/detail/11357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2023-11-20T09:41:16Z</dcterms:created>
  <dcterms:modified xsi:type="dcterms:W3CDTF">2023-11-20T09:41:16Z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