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9-от-12.09.2018г."/>
    <w:p>
      <w:pPr>
        <w:pStyle w:val="Heading3"/>
      </w:pPr>
      <w:r>
        <w:t xml:space="preserve">Протокол №9 от 12.09.2018г.</w:t>
      </w:r>
    </w:p>
    <w:p>
      <w:pPr>
        <w:pStyle w:val="FirstParagraph"/>
      </w:pPr>
      <w:r>
        <w:t xml:space="preserve">19.11.2018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12.09.2018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p>
      <w:pPr>
        <w:pStyle w:val="BodyText"/>
      </w:pPr>
      <w:bookmarkStart w:id="21" w:name="RANGE!A1:B16"/>
      <w:bookmarkEnd w:id="21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10-я ул. Соколиной Горы, вл. 28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http://sokolinka.mos.ru/construction-reconstruction-and-land-use/the-district-commission-to-curb-the-unauthorized-construction-in-the-territory-of-the-vao-g-moskvy/two-thousand-eighteen/detail/7707244.html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construction-reconstruction-and-land-use/the-district-commission-to-curb-the-unauthorized-construction-in-the-territory-of-the-vao-g-moskvy/two-thousand-eighteen/detail/7707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construction-reconstruction-and-land-use/the-district-commission-to-curb-the-unauthorized-construction-in-the-territory-of-the-vao-g-moskvy/two-thousand-eighteen/detail/7707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2025-07-23T19:28:59Z</dcterms:created>
  <dcterms:modified xsi:type="dcterms:W3CDTF">2025-07-23T19:28:59Z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