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7" w:name="Xcb34187b076917813757f1980850524f760fb31"/>
    <w:p>
      <w:pPr>
        <w:pStyle w:val="Heading3"/>
      </w:pPr>
      <w:r>
        <w:t xml:space="preserve">Разъяснение последствий несоблюдения требований законодательства при сдаче жилых помещений в наём и бесконтрольном пребывании в них посторонних лиц. Выдержки из законов</w:t>
      </w:r>
    </w:p>
    <w:p>
      <w:pPr>
        <w:pStyle w:val="FirstParagraph"/>
      </w:pPr>
      <w:r>
        <w:t xml:space="preserve">28.07.2018</w:t>
      </w:r>
    </w:p>
    <w:p>
      <w:pPr>
        <w:pStyle w:val="BodyText"/>
      </w:pPr>
      <w:r>
        <w:rPr>
          <w:bCs/>
          <w:b/>
        </w:rPr>
        <w:t xml:space="preserve">Конституция Российской Федерации</w:t>
      </w:r>
    </w:p>
    <w:p>
      <w:pPr>
        <w:pStyle w:val="BodyText"/>
      </w:pPr>
      <w:r>
        <w:rPr>
          <w:bCs/>
          <w:b/>
        </w:rPr>
        <w:t xml:space="preserve">Статья 57</w:t>
      </w:r>
    </w:p>
    <w:p>
      <w:pPr>
        <w:pStyle w:val="BodyText"/>
      </w:pPr>
      <w:r>
        <w:t xml:space="preserve">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pPr>
        <w:pStyle w:val="BodyText"/>
      </w:pPr>
      <w:r>
        <w:rPr>
          <w:bCs/>
          <w:b/>
        </w:rPr>
        <w:t xml:space="preserve">Налоговый кодекс Российской Федерации</w:t>
      </w:r>
    </w:p>
    <w:p>
      <w:pPr>
        <w:pStyle w:val="BodyText"/>
      </w:pPr>
      <w:r>
        <w:rPr>
          <w:bCs/>
          <w:b/>
        </w:rPr>
        <w:t xml:space="preserve">Статья 23 Обязанности налогоплательщиков (плательщиков сборов, плательщиков страховых взносов)</w:t>
      </w:r>
    </w:p>
    <w:p>
      <w:pPr>
        <w:pStyle w:val="BodyText"/>
      </w:pPr>
      <w:r>
        <w:t xml:space="preserve">1. Налогоплательщики обязаны:</w:t>
      </w:r>
    </w:p>
    <w:p>
      <w:pPr>
        <w:pStyle w:val="BodyText"/>
      </w:pPr>
      <w:bookmarkStart w:id="20" w:name="dst240"/>
      <w:bookmarkEnd w:id="20"/>
      <w:r>
        <w:t xml:space="preserve"> </w:t>
      </w:r>
      <w:r>
        <w:t xml:space="preserve">1) уплачивать законно установленные налоги;</w:t>
      </w:r>
    </w:p>
    <w:p>
      <w:pPr>
        <w:pStyle w:val="BodyText"/>
      </w:pPr>
      <w:bookmarkStart w:id="21" w:name="dst241"/>
      <w:bookmarkEnd w:id="21"/>
      <w:r>
        <w:t xml:space="preserve"> </w:t>
      </w:r>
      <w:r>
        <w:t xml:space="preserve">2) встать на учет в налоговых органах, если такая обязанность предусмотрена настоящим Кодексом;</w:t>
      </w:r>
    </w:p>
    <w:p>
      <w:pPr>
        <w:pStyle w:val="BodyText"/>
      </w:pPr>
      <w:bookmarkStart w:id="22" w:name="dst242"/>
      <w:bookmarkEnd w:id="22"/>
      <w:r>
        <w:t xml:space="preserve"> </w:t>
      </w:r>
      <w:r>
        <w:t xml:space="preserve">3) 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pPr>
        <w:pStyle w:val="BodyText"/>
      </w:pPr>
      <w:bookmarkStart w:id="23" w:name="dst243"/>
      <w:bookmarkEnd w:id="23"/>
      <w:r>
        <w:t xml:space="preserve"> </w:t>
      </w:r>
      <w:r>
        <w:t xml:space="preserve">4)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pPr>
        <w:pStyle w:val="BodyText"/>
      </w:pPr>
      <w:bookmarkStart w:id="24" w:name="dst2882"/>
      <w:bookmarkEnd w:id="24"/>
      <w:r>
        <w:t xml:space="preserve"> </w:t>
      </w:r>
      <w:r>
        <w:t xml:space="preserve">5) 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 представлять в налоговый орган по месту нахождения организации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Федеральным</w:t>
      </w:r>
      <w:r>
        <w:t xml:space="preserve"> </w:t>
      </w:r>
      <w:hyperlink r:id="rId25">
        <w:r>
          <w:rPr>
            <w:rStyle w:val="Hyperlink"/>
          </w:rPr>
          <w:t xml:space="preserve">законом</w:t>
        </w:r>
      </w:hyperlink>
      <w:r>
        <w:t xml:space="preserve"> </w:t>
      </w:r>
      <w:r>
        <w:t xml:space="preserve">от 6 декабря 2011 года N 402-ФЗ "О бухгалтерском учете" не обязана вести бухгалтерский учет или является религиозной организацией, у которой за отчетные (налоговые) периоды календарного года не возникало обязанности по уплате налогов и сборов;</w:t>
      </w:r>
    </w:p>
    <w:p>
      <w:pPr>
        <w:pStyle w:val="BodyText"/>
      </w:pPr>
      <w:bookmarkStart w:id="26" w:name="dst245"/>
      <w:bookmarkEnd w:id="26"/>
      <w:r>
        <w:t xml:space="preserve">6) 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pPr>
        <w:pStyle w:val="BodyText"/>
      </w:pPr>
      <w:bookmarkStart w:id="27" w:name="dst246"/>
      <w:bookmarkEnd w:id="27"/>
      <w:r>
        <w:t xml:space="preserve"> </w:t>
      </w:r>
      <w:r>
        <w:t xml:space="preserve">7) 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pPr>
        <w:pStyle w:val="BodyText"/>
      </w:pPr>
      <w:bookmarkStart w:id="28" w:name="dst2727"/>
      <w:bookmarkEnd w:id="28"/>
      <w:r>
        <w:t xml:space="preserve"> </w:t>
      </w:r>
      <w:r>
        <w:t xml:space="preserve">8) в течение четырех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 если иное не предусмотрено настоящим Кодексом;</w:t>
      </w:r>
    </w:p>
    <w:p>
      <w:pPr>
        <w:pStyle w:val="BodyText"/>
      </w:pPr>
      <w:bookmarkStart w:id="29" w:name="dst248"/>
      <w:bookmarkEnd w:id="29"/>
      <w:r>
        <w:t xml:space="preserve"> </w:t>
      </w:r>
      <w:r>
        <w:t xml:space="preserve">9) нести иные обязанности, предусмотренные законодательством о налогах и сборах.</w:t>
      </w:r>
    </w:p>
    <w:p>
      <w:pPr>
        <w:pStyle w:val="BodyText"/>
      </w:pPr>
      <w:r>
        <w:rPr>
          <w:bCs/>
          <w:b/>
        </w:rPr>
        <w:t xml:space="preserve">Статья 119 Непредставление налоговой декларации (расчета финансового результата инвестиционного товарищества, расчета по страховым взносам).</w:t>
      </w:r>
    </w:p>
    <w:p>
      <w:pPr>
        <w:pStyle w:val="BodyText"/>
      </w:pPr>
      <w:r>
        <w:t xml:space="preserve">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w:t>
      </w:r>
    </w:p>
    <w:p>
      <w:pPr>
        <w:pStyle w:val="BodyText"/>
      </w:pPr>
      <w:bookmarkStart w:id="30" w:name="dst4103"/>
      <w:bookmarkEnd w:id="30"/>
      <w:r>
        <w:t xml:space="preserve"> </w:t>
      </w:r>
      <w:r>
        <w:t xml:space="preserve">влечет 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w:t>
      </w:r>
    </w:p>
    <w:p>
      <w:pPr>
        <w:pStyle w:val="BodyText"/>
      </w:pPr>
      <w:bookmarkStart w:id="31" w:name="dst2361"/>
      <w:bookmarkEnd w:id="31"/>
      <w:r>
        <w:t xml:space="preserve"> </w:t>
      </w:r>
      <w:r>
        <w:t xml:space="preserve">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w:t>
      </w:r>
      <w:r>
        <w:t xml:space="preserve"> </w:t>
      </w:r>
      <w:hyperlink r:id="rId32">
        <w:r>
          <w:rPr>
            <w:rStyle w:val="Hyperlink"/>
          </w:rPr>
          <w:t xml:space="preserve">срок</w:t>
        </w:r>
      </w:hyperlink>
    </w:p>
    <w:p>
      <w:pPr>
        <w:pStyle w:val="BodyText"/>
      </w:pPr>
      <w:bookmarkStart w:id="33" w:name="dst2362"/>
      <w:bookmarkEnd w:id="33"/>
      <w:r>
        <w:t xml:space="preserve">влечет взыскание штрафа в размере 1 000 рублей за каждый полный или неполный месяц со дня, установленного для его представления.</w:t>
      </w:r>
    </w:p>
    <w:p>
      <w:pPr>
        <w:pStyle w:val="BodyText"/>
      </w:pPr>
      <w:r>
        <w:rPr>
          <w:bCs/>
          <w:b/>
        </w:rPr>
        <w:t xml:space="preserve">Статья 122 Неуплата или неполная уплата сумм налога (сбора, страховых взносов)</w:t>
      </w:r>
    </w:p>
    <w:p>
      <w:pPr>
        <w:pStyle w:val="BodyText"/>
      </w:pPr>
      <w:r>
        <w:t xml:space="preserve">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w:t>
      </w:r>
      <w:r>
        <w:t xml:space="preserve"> </w:t>
      </w:r>
      <w:hyperlink r:id="rId34">
        <w:r>
          <w:rPr>
            <w:rStyle w:val="Hyperlink"/>
          </w:rPr>
          <w:t xml:space="preserve">статьями 129.3</w:t>
        </w:r>
      </w:hyperlink>
      <w:r>
        <w:t xml:space="preserve"> </w:t>
      </w:r>
      <w:r>
        <w:t xml:space="preserve">и</w:t>
      </w:r>
      <w:r>
        <w:t xml:space="preserve"> </w:t>
      </w:r>
      <w:hyperlink r:id="rId35">
        <w:r>
          <w:rPr>
            <w:rStyle w:val="Hyperlink"/>
          </w:rPr>
          <w:t xml:space="preserve">129.5</w:t>
        </w:r>
      </w:hyperlink>
      <w:r>
        <w:t xml:space="preserve"> </w:t>
      </w:r>
      <w:r>
        <w:t xml:space="preserve">настоящего Кодекса,</w:t>
      </w:r>
    </w:p>
    <w:p>
      <w:pPr>
        <w:pStyle w:val="BodyText"/>
      </w:pPr>
      <w:bookmarkStart w:id="36" w:name="dst4109"/>
      <w:bookmarkEnd w:id="36"/>
      <w:r>
        <w:t xml:space="preserve">влечет взыскание штрафа в размере 20 процентов от неуплаченной суммы налога (сбора, страховых взносов).</w:t>
      </w:r>
    </w:p>
    <w:p>
      <w:pPr>
        <w:pStyle w:val="BodyText"/>
      </w:pPr>
      <w:bookmarkStart w:id="37" w:name="dst101309"/>
      <w:bookmarkEnd w:id="37"/>
      <w:r>
        <w:t xml:space="preserve"> </w:t>
      </w:r>
      <w:r>
        <w:t xml:space="preserve">2. Утратил силу с 1 января 2004 г.</w:t>
      </w:r>
    </w:p>
    <w:p>
      <w:pPr>
        <w:pStyle w:val="BodyText"/>
      </w:pPr>
      <w:bookmarkStart w:id="38" w:name="dst101367"/>
      <w:bookmarkEnd w:id="38"/>
      <w:r>
        <w:t xml:space="preserve"> </w:t>
      </w:r>
      <w:r>
        <w:t xml:space="preserve">3. Деяния, предусмотренные</w:t>
      </w:r>
      <w:r>
        <w:t xml:space="preserve"> </w:t>
      </w:r>
      <w:hyperlink r:id="rId39">
        <w:r>
          <w:rPr>
            <w:rStyle w:val="Hyperlink"/>
          </w:rPr>
          <w:t xml:space="preserve">пунктом 1</w:t>
        </w:r>
      </w:hyperlink>
      <w:r>
        <w:t xml:space="preserve"> </w:t>
      </w:r>
      <w:r>
        <w:t xml:space="preserve">настоящей статьи, совершенные</w:t>
      </w:r>
      <w:r>
        <w:t xml:space="preserve"> </w:t>
      </w:r>
      <w:hyperlink r:id="rId40">
        <w:r>
          <w:rPr>
            <w:rStyle w:val="Hyperlink"/>
          </w:rPr>
          <w:t xml:space="preserve">умышленно</w:t>
        </w:r>
      </w:hyperlink>
      <w:r>
        <w:t xml:space="preserve">,</w:t>
      </w:r>
      <w:r>
        <w:t xml:space="preserve"> </w:t>
      </w:r>
      <w:bookmarkStart w:id="41" w:name="dst4110"/>
      <w:bookmarkEnd w:id="41"/>
      <w:r>
        <w:t xml:space="preserve">влекут взыскание штрафа в размере 40 процентов от неуплаченной суммы налога (сбора, страховых взносов).</w:t>
      </w:r>
    </w:p>
    <w:p>
      <w:pPr>
        <w:pStyle w:val="BodyText"/>
      </w:pPr>
      <w:bookmarkStart w:id="42" w:name="dst2294"/>
      <w:bookmarkEnd w:id="42"/>
      <w:r>
        <w:t xml:space="preserve"> </w:t>
      </w:r>
      <w:r>
        <w:t xml:space="preserve">4. Не признается правонарушением неуплата или неполная уплата ответственным участником консолидированной группы налогоплательщиков сумм налога на прибыль организаций по консолидированной группе налогоплательщиков в результате занижения налоговой базы, иного неправильного исчисления налога на прибыль организаций по консолидированной группе налогоплательщиков или других неправомерных действий (бездействия), если они вызваны сообщением недостоверных данных (несообщением данных), повлиявших на полноту уплаты налога, иным участником консолидированной группы налогоплательщиков, привлеченным к ответственности в соответствии со</w:t>
      </w:r>
      <w:r>
        <w:t xml:space="preserve"> </w:t>
      </w:r>
      <w:hyperlink r:id="rId43">
        <w:r>
          <w:rPr>
            <w:rStyle w:val="Hyperlink"/>
          </w:rPr>
          <w:t xml:space="preserve">статьей 122.1</w:t>
        </w:r>
      </w:hyperlink>
      <w:r>
        <w:t xml:space="preserve"> </w:t>
      </w:r>
      <w:r>
        <w:t xml:space="preserve">настоящего Кодекса.</w:t>
      </w:r>
    </w:p>
    <w:p>
      <w:pPr>
        <w:pStyle w:val="BodyText"/>
      </w:pPr>
      <w:r>
        <w:rPr>
          <w:bCs/>
          <w:b/>
        </w:rPr>
        <w:t xml:space="preserve">Уголовный кодекс Российской Федерации</w:t>
      </w:r>
    </w:p>
    <w:p>
      <w:pPr>
        <w:pStyle w:val="BodyText"/>
      </w:pPr>
      <w:r>
        <w:rPr>
          <w:bCs/>
          <w:b/>
        </w:rPr>
        <w:t xml:space="preserve">Статья 198 Уклонение физического лица от уплаты налогов, сборов и (или) физического лица - плательщика страховых взносов от уплаты страховых взносов</w:t>
      </w:r>
    </w:p>
    <w:p>
      <w:pPr>
        <w:pStyle w:val="BodyText"/>
      </w:pPr>
      <w:r>
        <w:t xml:space="preserve">1.</w:t>
      </w:r>
      <w:hyperlink r:id="rId44">
        <w:r>
          <w:rPr>
            <w:rStyle w:val="Hyperlink"/>
          </w:rPr>
          <w:t xml:space="preserve">Уклонение</w:t>
        </w:r>
      </w:hyperlink>
      <w:r>
        <w:t xml:space="preserve"> </w:t>
      </w:r>
      <w:r>
        <w:t xml:space="preserve">физического</w:t>
      </w:r>
      <w:r>
        <w:t xml:space="preserve"> </w:t>
      </w:r>
      <w:hyperlink r:id="rId45">
        <w:r>
          <w:rPr>
            <w:rStyle w:val="Hyperlink"/>
          </w:rPr>
          <w:t xml:space="preserve">лица</w:t>
        </w:r>
      </w:hyperlink>
      <w:r>
        <w:t xml:space="preserve"> </w:t>
      </w:r>
      <w:r>
        <w:t xml:space="preserve">от уплаты</w:t>
      </w:r>
      <w:r>
        <w:t xml:space="preserve"> </w:t>
      </w:r>
      <w:hyperlink r:id="rId46">
        <w:r>
          <w:rPr>
            <w:rStyle w:val="Hyperlink"/>
          </w:rPr>
          <w:t xml:space="preserve">налогов</w:t>
        </w:r>
      </w:hyperlink>
      <w:r>
        <w:t xml:space="preserve">,</w:t>
      </w:r>
      <w:r>
        <w:t xml:space="preserve"> </w:t>
      </w:r>
      <w:hyperlink r:id="rId47">
        <w:r>
          <w:rPr>
            <w:rStyle w:val="Hyperlink"/>
          </w:rPr>
          <w:t xml:space="preserve">сборов</w:t>
        </w:r>
      </w:hyperlink>
      <w:r>
        <w:t xml:space="preserve"> </w:t>
      </w:r>
      <w:r>
        <w:t xml:space="preserve">и (или) физического лица - плательщика страховых взносов от уплаты страховых взносов путем непредставления</w:t>
      </w:r>
      <w:r>
        <w:t xml:space="preserve"> </w:t>
      </w:r>
      <w:hyperlink r:id="rId48">
        <w:r>
          <w:rPr>
            <w:rStyle w:val="Hyperlink"/>
          </w:rPr>
          <w:t xml:space="preserve">налоговой декларации</w:t>
        </w:r>
      </w:hyperlink>
      <w:r>
        <w:t xml:space="preserve"> </w:t>
      </w:r>
      <w:r>
        <w:t xml:space="preserve">(расчета) или</w:t>
      </w:r>
      <w:r>
        <w:t xml:space="preserve"> </w:t>
      </w:r>
      <w:hyperlink r:id="rId49">
        <w:r>
          <w:rPr>
            <w:rStyle w:val="Hyperlink"/>
          </w:rPr>
          <w:t xml:space="preserve">иных</w:t>
        </w:r>
      </w:hyperlink>
      <w:r>
        <w:t xml:space="preserve"> </w:t>
      </w:r>
      <w:r>
        <w:t xml:space="preserve">документов, представление которых в соответствии с</w:t>
      </w:r>
      <w:r>
        <w:t xml:space="preserve"> </w:t>
      </w:r>
      <w:hyperlink r:id="rId50">
        <w:r>
          <w:rPr>
            <w:rStyle w:val="Hyperlink"/>
          </w:rPr>
          <w:t xml:space="preserve">законодательством</w:t>
        </w:r>
      </w:hyperlink>
      <w:r>
        <w:t xml:space="preserve"> </w:t>
      </w:r>
      <w:r>
        <w:t xml:space="preserve">Российской Федерации о налогах и сборах является обязательным, либо путем включения в налоговую декларацию (расчет) или такие документы заведомо ложных</w:t>
      </w:r>
      <w:r>
        <w:t xml:space="preserve"> </w:t>
      </w:r>
      <w:hyperlink r:id="rId51">
        <w:r>
          <w:rPr>
            <w:rStyle w:val="Hyperlink"/>
          </w:rPr>
          <w:t xml:space="preserve">сведений</w:t>
        </w:r>
      </w:hyperlink>
      <w:r>
        <w:t xml:space="preserve">, совершенное в крупном размере,</w:t>
      </w:r>
    </w:p>
    <w:p>
      <w:pPr>
        <w:pStyle w:val="BodyText"/>
      </w:pPr>
      <w:r>
        <w:t xml:space="preserve">-</w:t>
      </w:r>
      <w:r>
        <w:t xml:space="preserve"> </w:t>
      </w:r>
      <w:bookmarkStart w:id="52" w:name="dst797"/>
      <w:bookmarkEnd w:id="52"/>
      <w:r>
        <w:t xml:space="preserve">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w:t>
      </w:r>
    </w:p>
    <w:p>
      <w:pPr>
        <w:pStyle w:val="BodyText"/>
      </w:pPr>
      <w:bookmarkStart w:id="53" w:name="dst102790"/>
      <w:bookmarkEnd w:id="53"/>
      <w:r>
        <w:t xml:space="preserve"> </w:t>
      </w:r>
      <w:r>
        <w:t xml:space="preserve">2. То же деяние, совершенное в особо крупном размере, -</w:t>
      </w:r>
    </w:p>
    <w:p>
      <w:pPr>
        <w:pStyle w:val="BodyText"/>
      </w:pPr>
      <w:bookmarkStart w:id="54" w:name="dst798"/>
      <w:bookmarkEnd w:id="54"/>
      <w:r>
        <w:t xml:space="preserve"> </w:t>
      </w:r>
      <w:r>
        <w:t xml:space="preserve">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w:t>
      </w:r>
    </w:p>
    <w:p>
      <w:pPr>
        <w:pStyle w:val="BodyText"/>
      </w:pPr>
      <w:bookmarkStart w:id="55" w:name="dst2309"/>
      <w:bookmarkEnd w:id="55"/>
      <w:r>
        <w:t xml:space="preserve"> </w:t>
      </w:r>
      <w:r>
        <w:rPr>
          <w:bCs/>
          <w:b/>
        </w:rPr>
        <w:t xml:space="preserve">Примечания</w:t>
      </w:r>
      <w:r>
        <w:t xml:space="preserve"> </w:t>
      </w:r>
      <w:r>
        <w:t xml:space="preserve">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w:t>
      </w:r>
    </w:p>
    <w:p>
      <w:pPr>
        <w:pStyle w:val="BodyText"/>
      </w:pPr>
      <w:bookmarkStart w:id="56" w:name="dst2310"/>
      <w:bookmarkEnd w:id="56"/>
      <w:r>
        <w:t xml:space="preserve"> </w:t>
      </w:r>
      <w:r>
        <w:t xml:space="preserve">2). Крупным размером в настоящей статье признается сумма налогов, сборов, страховых взносов, составляющая за период в пределах трех финансовых лет подряд более девятисот тысяч рублей, при условии, что доля неуплаченных налогов, сборов, страховых взносов превышает 10 процентов подлежащих уплате сумм налогов, сборов, страховых взносов в совокупности, либо превышающая два миллиона семьсот тысяч рублей, а особо крупным размером - сумма, составляющая за период в пределах трех финансовых лет подряд более четырех миллионов пятисот тысяч рублей, при условии, что доля неуплаченных налогов, сборов, страховых взносов превышает 20 процентов подлежащих уплате сумм налогов, сборов, страховых взносов в совокупности, либо превышающая тринадцать миллионов пятьсот тысяч рублей.</w:t>
      </w:r>
    </w:p>
    <w:p>
      <w:pPr>
        <w:pStyle w:val="BodyText"/>
      </w:pPr>
      <w:bookmarkStart w:id="57" w:name="dst2311"/>
      <w:bookmarkEnd w:id="57"/>
      <w:r>
        <w:t xml:space="preserve"> </w:t>
      </w:r>
      <w:r>
        <w:t xml:space="preserve">3).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w:t>
      </w:r>
      <w:r>
        <w:t xml:space="preserve"> </w:t>
      </w:r>
      <w:hyperlink r:id="rId58">
        <w:r>
          <w:rPr>
            <w:rStyle w:val="Hyperlink"/>
          </w:rPr>
          <w:t xml:space="preserve">кодексом</w:t>
        </w:r>
      </w:hyperlink>
      <w:r>
        <w:t xml:space="preserve"> </w:t>
      </w:r>
      <w:r>
        <w:t xml:space="preserve">Российской Федерации.</w:t>
      </w:r>
    </w:p>
    <w:p>
      <w:pPr>
        <w:pStyle w:val="BodyText"/>
      </w:pPr>
      <w:r>
        <w:rPr>
          <w:bCs/>
          <w:b/>
        </w:rPr>
        <w:t xml:space="preserve">Статья 205.1 Содействие террористической деятельности</w:t>
      </w:r>
    </w:p>
    <w:p>
      <w:pPr>
        <w:pStyle w:val="BodyText"/>
      </w:pPr>
      <w:r>
        <w:t xml:space="preserve">3. Пособничество в совершении хотя бы одного из преступлений, предусмотренных</w:t>
      </w:r>
      <w:r>
        <w:t xml:space="preserve"> </w:t>
      </w:r>
      <w:hyperlink r:id="rId59">
        <w:r>
          <w:rPr>
            <w:rStyle w:val="Hyperlink"/>
          </w:rPr>
          <w:t xml:space="preserve">статьей 205</w:t>
        </w:r>
      </w:hyperlink>
      <w:r>
        <w:t xml:space="preserve">,</w:t>
      </w:r>
      <w:r>
        <w:t xml:space="preserve"> </w:t>
      </w:r>
      <w:hyperlink r:id="rId60">
        <w:r>
          <w:rPr>
            <w:rStyle w:val="Hyperlink"/>
          </w:rPr>
          <w:t xml:space="preserve">частью третьей статьи 206</w:t>
        </w:r>
      </w:hyperlink>
      <w:r>
        <w:t xml:space="preserve">,</w:t>
      </w:r>
      <w:r>
        <w:t xml:space="preserve"> </w:t>
      </w:r>
      <w:hyperlink r:id="rId61">
        <w:r>
          <w:rPr>
            <w:rStyle w:val="Hyperlink"/>
          </w:rPr>
          <w:t xml:space="preserve">частью первой статьи 208</w:t>
        </w:r>
      </w:hyperlink>
      <w:r>
        <w:t xml:space="preserve"> </w:t>
      </w:r>
      <w:r>
        <w:t xml:space="preserve">настоящего Кодекса, -</w:t>
      </w:r>
    </w:p>
    <w:p>
      <w:pPr>
        <w:pStyle w:val="BodyText"/>
      </w:pPr>
      <w:r>
        <w:t xml:space="preserve">наказывается лишением свободы на срок от десяти до двадцати лет.</w:t>
      </w:r>
    </w:p>
    <w:p>
      <w:pPr>
        <w:pStyle w:val="BodyText"/>
      </w:pPr>
      <w:r>
        <w:t xml:space="preserve">Примечание: 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pPr>
        <w:pStyle w:val="BodyText"/>
      </w:pPr>
      <w:r>
        <w:rPr>
          <w:bCs/>
          <w:b/>
        </w:rPr>
        <w:t xml:space="preserve">Кодекс Российской Федерации об административных правонарушениях</w:t>
      </w:r>
    </w:p>
    <w:p>
      <w:pPr>
        <w:pStyle w:val="BodyText"/>
      </w:pPr>
      <w:r>
        <w:rPr>
          <w:bCs/>
          <w:b/>
        </w:rPr>
        <w:t xml:space="preserve">Статья 18.9 Нарушение правил пребывания в Российской Федерации иностранных граждан и лиц без гражданства</w:t>
      </w:r>
    </w:p>
    <w:p>
      <w:pPr>
        <w:pStyle w:val="BodyText"/>
      </w:pPr>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w:t>
      </w:r>
      <w:r>
        <w:t xml:space="preserve"> </w:t>
      </w:r>
      <w:hyperlink r:id="rId62">
        <w:r>
          <w:rPr>
            <w:rStyle w:val="Hyperlink"/>
          </w:rPr>
          <w:t xml:space="preserve">порядка</w:t>
        </w:r>
      </w:hyperlink>
      <w:r>
        <w:t xml:space="preserve"> </w:t>
      </w:r>
      <w:r>
        <w:t xml:space="preserve">или</w:t>
      </w:r>
      <w:r>
        <w:t xml:space="preserve"> </w:t>
      </w:r>
      <w:hyperlink r:id="rId63">
        <w:r>
          <w:rPr>
            <w:rStyle w:val="Hyperlink"/>
          </w:rPr>
          <w:t xml:space="preserve">правил</w:t>
        </w:r>
      </w:hyperlink>
      <w:r>
        <w:t xml:space="preserve"> </w:t>
      </w:r>
      <w:r>
        <w:t xml:space="preserve">транзитного проезда через ее территорию, -</w:t>
      </w:r>
    </w:p>
    <w:p>
      <w:pPr>
        <w:pStyle w:val="BodyText"/>
      </w:pPr>
      <w:bookmarkStart w:id="64" w:name="dst8099"/>
      <w:bookmarkEnd w:id="64"/>
      <w: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pStyle w:val="BodyText"/>
      </w:pPr>
      <w:r>
        <w:br/>
      </w:r>
    </w:p>
    <w:p>
      <w:pPr>
        <w:pStyle w:val="BodyText"/>
      </w:pPr>
      <w:r>
        <w:br/>
      </w:r>
    </w:p>
    <w:p>
      <w:pPr>
        <w:pStyle w:val="BodyText"/>
      </w:pPr>
      <w:r>
        <w:t xml:space="preserve">Адрес страницы:</w:t>
      </w:r>
      <w:r>
        <w:t xml:space="preserve"> </w:t>
      </w:r>
      <w:hyperlink r:id="rId65">
        <w:r>
          <w:rPr>
            <w:rStyle w:val="Hyperlink"/>
          </w:rPr>
          <w:t xml:space="preserve">http://sokolinka.mos.ru/counter-terrorism/the-legal-basis-of-combating-terrorism-and-extremism/detail/7476238.html</w:t>
        </w:r>
      </w:hyperlink>
    </w:p>
    <w:p>
      <w:pPr>
        <w:pStyle w:val="BodyText"/>
      </w:pPr>
      <w:hyperlink r:id="rId66">
        <w:r>
          <w:rPr>
            <w:rStyle w:val="Hyperlink"/>
          </w:rPr>
          <w:t xml:space="preserve">Управа района Соколиная гора города Москвы</w:t>
        </w:r>
      </w:hyperlink>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6" Target="http://sokolinka.mos.ru" TargetMode="External" /><Relationship Type="http://schemas.openxmlformats.org/officeDocument/2006/relationships/hyperlink" Id="rId65" Target="http://sokolinka.mos.ru/counter-terrorism/the-legal-basis-of-combating-terrorism-and-extremism/detail/7476238.html" TargetMode="External" /><Relationship Type="http://schemas.openxmlformats.org/officeDocument/2006/relationships/hyperlink" Id="rId25" Target="http://www.consultant.ru/document/Cons_doc_LAW_286976/d7372b9bbb772927073ce566a64848b23aa14879/#dst100048" TargetMode="External" /><Relationship Type="http://schemas.openxmlformats.org/officeDocument/2006/relationships/hyperlink" Id="rId63" Target="http://www.consultant.ru/document/Cons_doc_LAW_291256/c22f20e79005a435515f1a4c92e5301332f72c64/#dst100100" TargetMode="External" /><Relationship Type="http://schemas.openxmlformats.org/officeDocument/2006/relationships/hyperlink" Id="rId62" Target="http://www.consultant.ru/document/Cons_doc_LAW_291256/d8b66f041ba1f3c943f63e1cd0768b74d48d09f3/#dst100085" TargetMode="External" /><Relationship Type="http://schemas.openxmlformats.org/officeDocument/2006/relationships/hyperlink" Id="rId32" Target="http://www.consultant.ru/document/Cons_doc_LAW_291273/44cc7c3f3d71686b8e6b2c639eb5357e9a6eccc6/#dst2315" TargetMode="External" /><Relationship Type="http://schemas.openxmlformats.org/officeDocument/2006/relationships/hyperlink" Id="rId40" Target="http://www.consultant.ru/document/cons_doc_LAW_220597/908a136d43efe81264e642fb6f023cd9f5971dd3/#dst100022" TargetMode="External" /><Relationship Type="http://schemas.openxmlformats.org/officeDocument/2006/relationships/hyperlink" Id="rId58" Target="http://www.consultant.ru/document/cons_doc_LAW_291273/#dst0" TargetMode="External" /><Relationship Type="http://schemas.openxmlformats.org/officeDocument/2006/relationships/hyperlink" Id="rId43" Target="http://www.consultant.ru/document/cons_doc_LAW_291273/050ce5ad60afdb4ab5145b54b41a6abba869ffda/#dst2295" TargetMode="External" /><Relationship Type="http://schemas.openxmlformats.org/officeDocument/2006/relationships/hyperlink" Id="rId34" Target="http://www.consultant.ru/document/cons_doc_LAW_291273/0dcad7fcba79ce0bdb98d2f907e49de1456a8985/#dst2022" TargetMode="External" /><Relationship Type="http://schemas.openxmlformats.org/officeDocument/2006/relationships/hyperlink" Id="rId39" Target="http://www.consultant.ru/document/cons_doc_LAW_291273/1bab8cfd8c4da82e8af44f7ebcbfa1716bac9586/#dst101189" TargetMode="External" /><Relationship Type="http://schemas.openxmlformats.org/officeDocument/2006/relationships/hyperlink" Id="rId35" Target="http://www.consultant.ru/document/cons_doc_LAW_291273/ca391efb61a3012f873fbac5bb2fc1d7729d8909/#dst3258" TargetMode="External" /><Relationship Type="http://schemas.openxmlformats.org/officeDocument/2006/relationships/hyperlink" Id="rId50" Target="http://www.consultant.ru/document/cons_doc_LAW_291273/dfdebc3924e7af2bdd0afedcf17a119a7e191b07/#dst3853" TargetMode="External" /><Relationship Type="http://schemas.openxmlformats.org/officeDocument/2006/relationships/hyperlink" Id="rId59" Target="http://www.consultant.ru/document/cons_doc_LAW_296536/0994b72ccab34fae773ced2c837691518a3e3dca/#dst2163" TargetMode="External" /><Relationship Type="http://schemas.openxmlformats.org/officeDocument/2006/relationships/hyperlink" Id="rId60" Target="http://www.consultant.ru/document/cons_doc_LAW_296536/3023e13509901f168fb24cd67654422cb4e93b13/#dst101334" TargetMode="External" /><Relationship Type="http://schemas.openxmlformats.org/officeDocument/2006/relationships/hyperlink" Id="rId61" Target="http://www.consultant.ru/document/cons_doc_LAW_296536/e15b4807e0a41503c8101b28cb338b6938e5021b/#dst103243" TargetMode="External" /><Relationship Type="http://schemas.openxmlformats.org/officeDocument/2006/relationships/hyperlink" Id="rId46" Target="http://www.consultant.ru/document/cons_doc_LAW_64996/#dst100006" TargetMode="External" /><Relationship Type="http://schemas.openxmlformats.org/officeDocument/2006/relationships/hyperlink" Id="rId47" Target="http://www.consultant.ru/document/cons_doc_LAW_64996/#dst100007" TargetMode="External" /><Relationship Type="http://schemas.openxmlformats.org/officeDocument/2006/relationships/hyperlink" Id="rId44" Target="http://www.consultant.ru/document/cons_doc_LAW_64996/#dst100010" TargetMode="External" /><Relationship Type="http://schemas.openxmlformats.org/officeDocument/2006/relationships/hyperlink" Id="rId48" Target="http://www.consultant.ru/document/cons_doc_LAW_64996/#dst100013" TargetMode="External" /><Relationship Type="http://schemas.openxmlformats.org/officeDocument/2006/relationships/hyperlink" Id="rId49" Target="http://www.consultant.ru/document/cons_doc_LAW_64996/#dst100015" TargetMode="External" /><Relationship Type="http://schemas.openxmlformats.org/officeDocument/2006/relationships/hyperlink" Id="rId45" Target="http://www.consultant.ru/document/cons_doc_LAW_64996/#dst100016" TargetMode="External" /><Relationship Type="http://schemas.openxmlformats.org/officeDocument/2006/relationships/hyperlink" Id="rId51" Target="http://www.consultant.ru/document/cons_doc_LAW_64996/#dst100023" TargetMode="External" /></Relationships>
</file>

<file path=word/_rels/footnotes.xml.rels><?xml version="1.0" encoding="UTF-8"?><Relationships xmlns="http://schemas.openxmlformats.org/package/2006/relationships"><Relationship Type="http://schemas.openxmlformats.org/officeDocument/2006/relationships/hyperlink" Id="rId66" Target="http://sokolinka.mos.ru" TargetMode="External" /><Relationship Type="http://schemas.openxmlformats.org/officeDocument/2006/relationships/hyperlink" Id="rId65" Target="http://sokolinka.mos.ru/counter-terrorism/the-legal-basis-of-combating-terrorism-and-extremism/detail/7476238.html" TargetMode="External" /><Relationship Type="http://schemas.openxmlformats.org/officeDocument/2006/relationships/hyperlink" Id="rId25" Target="http://www.consultant.ru/document/Cons_doc_LAW_286976/d7372b9bbb772927073ce566a64848b23aa14879/#dst100048" TargetMode="External" /><Relationship Type="http://schemas.openxmlformats.org/officeDocument/2006/relationships/hyperlink" Id="rId63" Target="http://www.consultant.ru/document/Cons_doc_LAW_291256/c22f20e79005a435515f1a4c92e5301332f72c64/#dst100100" TargetMode="External" /><Relationship Type="http://schemas.openxmlformats.org/officeDocument/2006/relationships/hyperlink" Id="rId62" Target="http://www.consultant.ru/document/Cons_doc_LAW_291256/d8b66f041ba1f3c943f63e1cd0768b74d48d09f3/#dst100085" TargetMode="External" /><Relationship Type="http://schemas.openxmlformats.org/officeDocument/2006/relationships/hyperlink" Id="rId32" Target="http://www.consultant.ru/document/Cons_doc_LAW_291273/44cc7c3f3d71686b8e6b2c639eb5357e9a6eccc6/#dst2315" TargetMode="External" /><Relationship Type="http://schemas.openxmlformats.org/officeDocument/2006/relationships/hyperlink" Id="rId40" Target="http://www.consultant.ru/document/cons_doc_LAW_220597/908a136d43efe81264e642fb6f023cd9f5971dd3/#dst100022" TargetMode="External" /><Relationship Type="http://schemas.openxmlformats.org/officeDocument/2006/relationships/hyperlink" Id="rId58" Target="http://www.consultant.ru/document/cons_doc_LAW_291273/#dst0" TargetMode="External" /><Relationship Type="http://schemas.openxmlformats.org/officeDocument/2006/relationships/hyperlink" Id="rId43" Target="http://www.consultant.ru/document/cons_doc_LAW_291273/050ce5ad60afdb4ab5145b54b41a6abba869ffda/#dst2295" TargetMode="External" /><Relationship Type="http://schemas.openxmlformats.org/officeDocument/2006/relationships/hyperlink" Id="rId34" Target="http://www.consultant.ru/document/cons_doc_LAW_291273/0dcad7fcba79ce0bdb98d2f907e49de1456a8985/#dst2022" TargetMode="External" /><Relationship Type="http://schemas.openxmlformats.org/officeDocument/2006/relationships/hyperlink" Id="rId39" Target="http://www.consultant.ru/document/cons_doc_LAW_291273/1bab8cfd8c4da82e8af44f7ebcbfa1716bac9586/#dst101189" TargetMode="External" /><Relationship Type="http://schemas.openxmlformats.org/officeDocument/2006/relationships/hyperlink" Id="rId35" Target="http://www.consultant.ru/document/cons_doc_LAW_291273/ca391efb61a3012f873fbac5bb2fc1d7729d8909/#dst3258" TargetMode="External" /><Relationship Type="http://schemas.openxmlformats.org/officeDocument/2006/relationships/hyperlink" Id="rId50" Target="http://www.consultant.ru/document/cons_doc_LAW_291273/dfdebc3924e7af2bdd0afedcf17a119a7e191b07/#dst3853" TargetMode="External" /><Relationship Type="http://schemas.openxmlformats.org/officeDocument/2006/relationships/hyperlink" Id="rId59" Target="http://www.consultant.ru/document/cons_doc_LAW_296536/0994b72ccab34fae773ced2c837691518a3e3dca/#dst2163" TargetMode="External" /><Relationship Type="http://schemas.openxmlformats.org/officeDocument/2006/relationships/hyperlink" Id="rId60" Target="http://www.consultant.ru/document/cons_doc_LAW_296536/3023e13509901f168fb24cd67654422cb4e93b13/#dst101334" TargetMode="External" /><Relationship Type="http://schemas.openxmlformats.org/officeDocument/2006/relationships/hyperlink" Id="rId61" Target="http://www.consultant.ru/document/cons_doc_LAW_296536/e15b4807e0a41503c8101b28cb338b6938e5021b/#dst103243" TargetMode="External" /><Relationship Type="http://schemas.openxmlformats.org/officeDocument/2006/relationships/hyperlink" Id="rId46" Target="http://www.consultant.ru/document/cons_doc_LAW_64996/#dst100006" TargetMode="External" /><Relationship Type="http://schemas.openxmlformats.org/officeDocument/2006/relationships/hyperlink" Id="rId47" Target="http://www.consultant.ru/document/cons_doc_LAW_64996/#dst100007" TargetMode="External" /><Relationship Type="http://schemas.openxmlformats.org/officeDocument/2006/relationships/hyperlink" Id="rId44" Target="http://www.consultant.ru/document/cons_doc_LAW_64996/#dst100010" TargetMode="External" /><Relationship Type="http://schemas.openxmlformats.org/officeDocument/2006/relationships/hyperlink" Id="rId48" Target="http://www.consultant.ru/document/cons_doc_LAW_64996/#dst100013" TargetMode="External" /><Relationship Type="http://schemas.openxmlformats.org/officeDocument/2006/relationships/hyperlink" Id="rId49" Target="http://www.consultant.ru/document/cons_doc_LAW_64996/#dst100015" TargetMode="External" /><Relationship Type="http://schemas.openxmlformats.org/officeDocument/2006/relationships/hyperlink" Id="rId45" Target="http://www.consultant.ru/document/cons_doc_LAW_64996/#dst100016" TargetMode="External" /><Relationship Type="http://schemas.openxmlformats.org/officeDocument/2006/relationships/hyperlink" Id="rId51" Target="http://www.consultant.ru/document/cons_doc_LAW_64996/#dst100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2024-09-05T16:20:47Z</dcterms:created>
  <dcterms:modified xsi:type="dcterms:W3CDTF">2024-09-05T16:20:47Z</dcterms:modified>
</cp:coreProperties>
</file>

<file path=docProps/custom.xml><?xml version="1.0" encoding="utf-8"?>
<Properties xmlns="http://schemas.openxmlformats.org/officeDocument/2006/custom-properties" xmlns:vt="http://schemas.openxmlformats.org/officeDocument/2006/docPropsVTypes"/>
</file>