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6a5d218b81938ef135f529b9307d5121d3b3ad7"/>
    <w:p>
      <w:pPr>
        <w:pStyle w:val="Heading3"/>
      </w:pPr>
      <w:r>
        <w:t xml:space="preserve">Московско-Рязанская транспортная прокуратура разъясняет: Аттестация рабочих мест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t xml:space="preserve">С 26 февраля 2013 г. работодатель обязан проводить аттестацию не всех рабочих мест, а только тех, выполнение трудовых функций на которых может причинить вред здоровью и жизни работника (</w:t>
      </w:r>
      <w:hyperlink r:id="rId20">
        <w:r>
          <w:rPr>
            <w:rStyle w:val="Hyperlink"/>
          </w:rPr>
          <w:t xml:space="preserve">п. п.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4</w:t>
        </w:r>
      </w:hyperlink>
      <w:r>
        <w:t xml:space="preserve"> </w:t>
      </w:r>
      <w:r>
        <w:t xml:space="preserve">Порядка проведения аттестации). Соответствующие изменения в</w:t>
      </w:r>
      <w:r>
        <w:t xml:space="preserve"> </w:t>
      </w:r>
      <w:hyperlink r:id="rId22">
        <w:r>
          <w:rPr>
            <w:rStyle w:val="Hyperlink"/>
          </w:rPr>
          <w:t xml:space="preserve">Порядок</w:t>
        </w:r>
      </w:hyperlink>
      <w:r>
        <w:t xml:space="preserve"> </w:t>
      </w:r>
      <w:r>
        <w:t xml:space="preserve">внесены</w:t>
      </w:r>
      <w:r>
        <w:t xml:space="preserve"> </w:t>
      </w:r>
      <w:hyperlink r:id="rId23">
        <w:r>
          <w:rPr>
            <w:rStyle w:val="Hyperlink"/>
          </w:rPr>
          <w:t xml:space="preserve">Приказом</w:t>
        </w:r>
      </w:hyperlink>
      <w:r>
        <w:t xml:space="preserve"> </w:t>
      </w:r>
      <w:r>
        <w:t xml:space="preserve">Минтруда России от 12.12.2012 N 590н.</w:t>
      </w:r>
    </w:p>
    <w:p>
      <w:pPr>
        <w:pStyle w:val="BodyText"/>
      </w:pPr>
      <w:r>
        <w:t xml:space="preserve">Исчерпывающий перечень таких работ содержится в</w:t>
      </w:r>
      <w:r>
        <w:t xml:space="preserve"> </w:t>
      </w:r>
      <w:hyperlink r:id="rId21">
        <w:r>
          <w:rPr>
            <w:rStyle w:val="Hyperlink"/>
          </w:rPr>
          <w:t xml:space="preserve">п. 4</w:t>
        </w:r>
      </w:hyperlink>
      <w:r>
        <w:t xml:space="preserve"> </w:t>
      </w:r>
      <w:r>
        <w:t xml:space="preserve">Порядка проведения аттестации. Это работы:</w:t>
      </w:r>
    </w:p>
    <w:p>
      <w:pPr>
        <w:pStyle w:val="BodyText"/>
      </w:pPr>
      <w:r>
        <w:t xml:space="preserve">- с оборудованием, машинами, механизмами, установками, устройствами, аппаратами, транспортными средствами, а также по их эксплуатации, обслуживанию, испытанию, наладке и ремонту;</w:t>
      </w:r>
    </w:p>
    <w:p>
      <w:pPr>
        <w:pStyle w:val="BodyText"/>
      </w:pPr>
      <w:r>
        <w:t xml:space="preserve">- с источниками опасностей, которые могут оказывать вредное воздействие на работника и определяются аттестационной комиссией исходя из критериев оценки условий труда;</w:t>
      </w:r>
    </w:p>
    <w:p>
      <w:pPr>
        <w:pStyle w:val="BodyText"/>
      </w:pPr>
      <w:r>
        <w:t xml:space="preserve">- с электрифицированным, механизированным или другим ручным инструментом;</w:t>
      </w:r>
    </w:p>
    <w:p>
      <w:pPr>
        <w:pStyle w:val="BodyText"/>
      </w:pPr>
      <w:r>
        <w:t xml:space="preserve">- по хранению, перемещению и (или) применению сырья и материалов.</w:t>
      </w:r>
    </w:p>
    <w:p>
      <w:pPr>
        <w:pStyle w:val="BodyText"/>
      </w:pPr>
      <w:r>
        <w:t xml:space="preserve">Обязательной аттестации подлежат как уже существующие рабочие места (организованные при создании юридического лица, регистрации индивидуального предпринимателя), так и вновь организованные, если они связаны с выполнением указанных в перечне работ (</w:t>
      </w:r>
      <w:hyperlink r:id="rId21">
        <w:r>
          <w:rPr>
            <w:rStyle w:val="Hyperlink"/>
          </w:rPr>
          <w:t xml:space="preserve">абз. 1 п. 4</w:t>
        </w:r>
      </w:hyperlink>
      <w:r>
        <w:t xml:space="preserve"> </w:t>
      </w:r>
      <w:r>
        <w:t xml:space="preserve">Порядка проведения аттестации).</w:t>
      </w:r>
    </w:p>
    <w:p>
      <w:pPr>
        <w:pStyle w:val="BodyText"/>
      </w:pPr>
      <w:r>
        <w:t xml:space="preserve">Вновь организованными признаются рабочие места, которые образованы (</w:t>
      </w:r>
      <w:hyperlink r:id="rId21">
        <w:r>
          <w:rPr>
            <w:rStyle w:val="Hyperlink"/>
          </w:rPr>
          <w:t xml:space="preserve">абз. 1 п. 4</w:t>
        </w:r>
      </w:hyperlink>
      <w:r>
        <w:t xml:space="preserve"> </w:t>
      </w:r>
      <w:r>
        <w:t xml:space="preserve">Порядка проведения аттестации):</w:t>
      </w:r>
    </w:p>
    <w:p>
      <w:pPr>
        <w:pStyle w:val="BodyText"/>
      </w:pPr>
      <w:r>
        <w:t xml:space="preserve">- при создании юридического лица, регистрации индивидуального предпринимателя;</w:t>
      </w:r>
    </w:p>
    <w:p>
      <w:pPr>
        <w:pStyle w:val="BodyText"/>
      </w:pPr>
      <w:r>
        <w:t xml:space="preserve">- по завершении строительства, реконструкции, технического перевооружения производства, внедрения новой техники и технологий.</w:t>
      </w:r>
    </w:p>
    <w:p>
      <w:pPr>
        <w:pStyle w:val="BodyText"/>
      </w:pPr>
      <w:r>
        <w:t xml:space="preserve">Все вновь организованные рабочие места работодатель обязан отразить в структуре организации, в частности в технической документации, локальных нормативных актах (</w:t>
      </w:r>
      <w:hyperlink r:id="rId24">
        <w:r>
          <w:rPr>
            <w:rStyle w:val="Hyperlink"/>
          </w:rPr>
          <w:t xml:space="preserve">п. 4</w:t>
        </w:r>
      </w:hyperlink>
      <w:r>
        <w:t xml:space="preserve"> </w:t>
      </w:r>
      <w:r>
        <w:t xml:space="preserve">Порядка проведения аттестации). Например, если новое рабочее место возникает в результате реконструкции старого оборудования, то установка нового оборудования должна быть оформлена актом приемки.</w:t>
      </w:r>
    </w:p>
    <w:p>
      <w:pPr>
        <w:pStyle w:val="BodyText"/>
      </w:pPr>
      <w:r>
        <w:t xml:space="preserve">Согласно буквальному прочтению</w:t>
      </w:r>
      <w:r>
        <w:t xml:space="preserve"> </w:t>
      </w:r>
      <w:hyperlink r:id="rId25">
        <w:r>
          <w:rPr>
            <w:rStyle w:val="Hyperlink"/>
          </w:rPr>
          <w:t xml:space="preserve">п. 4</w:t>
        </w:r>
      </w:hyperlink>
      <w:r>
        <w:t xml:space="preserve"> </w:t>
      </w:r>
      <w:r>
        <w:t xml:space="preserve">Порядка проведения аттестации не подлежат аттестации рабочие места тех работников, чья трудовая функция связана исключительно:</w:t>
      </w:r>
    </w:p>
    <w:p>
      <w:pPr>
        <w:pStyle w:val="BodyText"/>
      </w:pPr>
      <w:r>
        <w:t xml:space="preserve">- с работой на компьютерах;</w:t>
      </w:r>
    </w:p>
    <w:p>
      <w:pPr>
        <w:pStyle w:val="BodyText"/>
      </w:pPr>
      <w:r>
        <w:t xml:space="preserve">- с эксплуатацией копировально-множительной (ксероксы, принтеры) или иной техники для нужд самой организации;</w:t>
      </w:r>
    </w:p>
    <w:p>
      <w:pPr>
        <w:pStyle w:val="BodyText"/>
      </w:pPr>
      <w:r>
        <w:t xml:space="preserve">- с использованием бытовой техники, которая не задействована в технологическом процессе производства.</w:t>
      </w:r>
    </w:p>
    <w:p>
      <w:pPr>
        <w:pStyle w:val="BodyText"/>
      </w:pPr>
      <w:r>
        <w:t xml:space="preserve">В то же время Минтруд России в письмах от 08.04.2013</w:t>
      </w:r>
      <w:r>
        <w:t xml:space="preserve"> </w:t>
      </w:r>
      <w:hyperlink r:id="rId26">
        <w:r>
          <w:rPr>
            <w:rStyle w:val="Hyperlink"/>
          </w:rPr>
          <w:t xml:space="preserve">N 15-1-859</w:t>
        </w:r>
      </w:hyperlink>
      <w:r>
        <w:t xml:space="preserve">, от 01.03.2013</w:t>
      </w:r>
      <w:r>
        <w:t xml:space="preserve"> </w:t>
      </w:r>
      <w:hyperlink r:id="rId27">
        <w:r>
          <w:rPr>
            <w:rStyle w:val="Hyperlink"/>
          </w:rPr>
          <w:t xml:space="preserve">N 15-1/3012126-117</w:t>
        </w:r>
      </w:hyperlink>
      <w:r>
        <w:t xml:space="preserve"> </w:t>
      </w:r>
      <w:r>
        <w:t xml:space="preserve">указал, что рабочее место, на котором работник проводит более половины рабочего времени за компьютером, должно быть аттестовано.</w:t>
      </w:r>
    </w:p>
    <w:p>
      <w:pPr>
        <w:pStyle w:val="BodyText"/>
      </w:pPr>
      <w:r>
        <w:t xml:space="preserve">Вывод основан на следующем. Лица, работающие на ПЭВМ более половины рабочего времени, подлежат обязательному медосмотру (</w:t>
      </w:r>
      <w:hyperlink r:id="rId28">
        <w:r>
          <w:rPr>
            <w:rStyle w:val="Hyperlink"/>
          </w:rPr>
          <w:t xml:space="preserve">п. 3.2.2.4</w:t>
        </w:r>
      </w:hyperlink>
      <w:r>
        <w:t xml:space="preserve"> </w:t>
      </w:r>
      <w:r>
        <w:t xml:space="preserve">Перечня, утвержденного Приказом Минздравсоцразвития России от 12.04.2011 N 302н). Если проведение предварительных и периодических медицинских осмотров (обследований) работников является обязательным, то повторная аттестация занимаемых ими рабочих мест должна проводиться не реже одного раза в пять лет (</w:t>
      </w:r>
      <w:hyperlink r:id="rId29">
        <w:r>
          <w:rPr>
            <w:rStyle w:val="Hyperlink"/>
          </w:rPr>
          <w:t xml:space="preserve">п. 8</w:t>
        </w:r>
      </w:hyperlink>
      <w:r>
        <w:t xml:space="preserve"> </w:t>
      </w:r>
      <w:r>
        <w:t xml:space="preserve">Порядка проведения аттестации). Следовательно, рабочее место, на котором работник более половины рабочего времени проводит за компьютером, подлежит аттестации.</w:t>
      </w:r>
    </w:p>
    <w:p>
      <w:pPr>
        <w:pStyle w:val="BodyText"/>
      </w:pPr>
      <w:r>
        <w:t xml:space="preserve">Обращаем внимание на то, что указанные письма не являются нормативными правовыми актами, а носят рекомендательный характер.</w:t>
      </w:r>
    </w:p>
    <w:p>
      <w:pPr>
        <w:pStyle w:val="BodyText"/>
      </w:pPr>
      <w:r>
        <w:t xml:space="preserve">Рабочие места работников, занятых на работе с компьютером менее половины рабочего времени, аттестации не подлежат. Данный вывод подтверждается судебной практикой (Апелляционное</w:t>
      </w:r>
      <w:r>
        <w:t xml:space="preserve"> </w:t>
      </w:r>
      <w:hyperlink r:id="rId30">
        <w:r>
          <w:rPr>
            <w:rStyle w:val="Hyperlink"/>
          </w:rPr>
          <w:t xml:space="preserve">определение</w:t>
        </w:r>
      </w:hyperlink>
      <w:r>
        <w:t xml:space="preserve"> </w:t>
      </w:r>
      <w:r>
        <w:t xml:space="preserve">Саратовского областного суда от 22.08.2013 N 33-5043).</w:t>
      </w:r>
    </w:p>
    <w:p>
      <w:pPr>
        <w:pStyle w:val="BodyText"/>
      </w:pPr>
      <w:r>
        <w:t xml:space="preserve">Однако если работник или представитель профсоюза обратится с требованием о проведении аттестации либо ГИТ направит соответствующее предписание, то работодатель обязан будет аттестовать указанные рабочие места (</w:t>
      </w:r>
      <w:hyperlink r:id="rId31">
        <w:r>
          <w:rPr>
            <w:rStyle w:val="Hyperlink"/>
          </w:rPr>
          <w:t xml:space="preserve">абз. 2</w:t>
        </w:r>
      </w:hyperlink>
      <w:r>
        <w:t xml:space="preserve">,</w:t>
      </w:r>
      <w:r>
        <w:t xml:space="preserve"> </w:t>
      </w:r>
      <w:hyperlink r:id="rId32">
        <w:r>
          <w:rPr>
            <w:rStyle w:val="Hyperlink"/>
          </w:rPr>
          <w:t xml:space="preserve">4 п. 47</w:t>
        </w:r>
      </w:hyperlink>
      <w:r>
        <w:t xml:space="preserve"> </w:t>
      </w:r>
      <w:r>
        <w:t xml:space="preserve">Порядка проведения аттестации) согласно</w:t>
      </w:r>
      <w:r>
        <w:t xml:space="preserve"> </w:t>
      </w:r>
      <w:hyperlink r:id="rId33">
        <w:r>
          <w:rPr>
            <w:rStyle w:val="Hyperlink"/>
          </w:rPr>
          <w:t xml:space="preserve">разд. VI</w:t>
        </w:r>
      </w:hyperlink>
      <w:r>
        <w:t xml:space="preserve"> </w:t>
      </w:r>
      <w:r>
        <w:t xml:space="preserve">Порядка проведения аттестации. Подробнее о внеплановой аттестации см.</w:t>
      </w:r>
      <w:r>
        <w:t xml:space="preserve"> </w:t>
      </w:r>
      <w:hyperlink r:id="rId34">
        <w:r>
          <w:rPr>
            <w:rStyle w:val="Hyperlink"/>
          </w:rPr>
          <w:t xml:space="preserve">раздел</w:t>
        </w:r>
      </w:hyperlink>
      <w:r>
        <w:t xml:space="preserve"> </w:t>
      </w:r>
      <w:r>
        <w:t xml:space="preserve">"Виды аттестации рабочих мест по условиям труда. В какой срок проводится аттестация?" настоящего материала.</w:t>
      </w:r>
    </w:p>
    <w:p>
      <w:pPr>
        <w:pStyle w:val="BodyText"/>
      </w:pPr>
      <w:r>
        <w:t xml:space="preserve">Если работодатель не провел в установленный срок аттестацию рабочего места, которое до 26 февраля 2013 г. (когда такое требование было отменено</w:t>
      </w:r>
      <w:r>
        <w:t xml:space="preserve"> </w:t>
      </w:r>
      <w:hyperlink r:id="rId35">
        <w:r>
          <w:rPr>
            <w:rStyle w:val="Hyperlink"/>
          </w:rPr>
          <w:t xml:space="preserve">Приказом</w:t>
        </w:r>
      </w:hyperlink>
      <w:r>
        <w:t xml:space="preserve"> </w:t>
      </w:r>
      <w:r>
        <w:t xml:space="preserve">Минтруда России от 12.12.2012 N 590н) подлежало обязательной аттестации, его могут привлечь к административной ответственности по</w:t>
      </w:r>
      <w:r>
        <w:t xml:space="preserve"> </w:t>
      </w:r>
      <w:hyperlink r:id="rId36">
        <w:r>
          <w:rPr>
            <w:rStyle w:val="Hyperlink"/>
          </w:rPr>
          <w:t xml:space="preserve">ст. 5.27</w:t>
        </w:r>
      </w:hyperlink>
      <w:r>
        <w:t xml:space="preserve"> </w:t>
      </w:r>
      <w:r>
        <w:t xml:space="preserve">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http://sokolinka.mos.ru/law-enforcement-and-security/the-prosecutor-s-office-informs/memo-of-prosecutor-s-office/detail/6502058.html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0CA03C53B420CDCBC2BCED9D2A1FE82A070A06AD4DF583F47B4885148DFF5D9A29AF50F932320782pF69J" TargetMode="External" /><Relationship Type="http://schemas.openxmlformats.org/officeDocument/2006/relationships/hyperlink" Id="rId22" Target="consultantplus://offline/ref=0CA03C53B420CDCBC2BCED9D2A1FE82A070A06AD4DF583F47B4885148DFF5D9A29AF50F932320782pF6DJ" TargetMode="External" /><Relationship Type="http://schemas.openxmlformats.org/officeDocument/2006/relationships/hyperlink" Id="rId21" Target="consultantplus://offline/ref=0CA03C53B420CDCBC2BCED9D2A1FE82A070A06AD4DF583F47B4885148DFF5D9A29AF50pF69J" TargetMode="External" /><Relationship Type="http://schemas.openxmlformats.org/officeDocument/2006/relationships/hyperlink" Id="rId24" Target="consultantplus://offline/ref=0CA03C53B420CDCBC2BCED9D2A1FE82A070A06AD4DF583F47B4885148DFF5D9A29AF50pF6CJ" TargetMode="External" /><Relationship Type="http://schemas.openxmlformats.org/officeDocument/2006/relationships/hyperlink" Id="rId23" Target="consultantplus://offline/ref=0CA03C53B420CDCBC2BCED9D2A1FE82A070A06AD4EF883F47B4885148DFF5D9A29AF50F932320783pF67J" TargetMode="External" /><Relationship Type="http://schemas.openxmlformats.org/officeDocument/2006/relationships/hyperlink" Id="rId28" Target="consultantplus://offline/ref=29F548B5FD1BDFC66EF6052349FAA0AF65CDF3E5CFA0BF90FD3976604CA0542E2988C4F203155BFAzE78J" TargetMode="External" /><Relationship Type="http://schemas.openxmlformats.org/officeDocument/2006/relationships/hyperlink" Id="rId33" Target="consultantplus://offline/ref=29F548B5FD1BDFC66EF6052349FAA0AF65CEF6E4CCAABF90FD3976604CA0542E2988C4F203155BFAzE7BJ" TargetMode="External" /><Relationship Type="http://schemas.openxmlformats.org/officeDocument/2006/relationships/hyperlink" Id="rId29" Target="consultantplus://offline/ref=29F548B5FD1BDFC66EF6052349FAA0AF65CEF6E4CCAABF90FD3976604CA0542E2988C4F2z072J" TargetMode="External" /><Relationship Type="http://schemas.openxmlformats.org/officeDocument/2006/relationships/hyperlink" Id="rId32" Target="consultantplus://offline/ref=29F548B5FD1BDFC66EF6052349FAA0AF65CEF6E4CCAABF90FD3976604CA0542E2988C4F2z075J" TargetMode="External" /><Relationship Type="http://schemas.openxmlformats.org/officeDocument/2006/relationships/hyperlink" Id="rId31" Target="consultantplus://offline/ref=29F548B5FD1BDFC66EF6052349FAA0AF65CEF6E4CCAABF90FD3976604CA0542E2988C4F2z07BJ" TargetMode="External" /><Relationship Type="http://schemas.openxmlformats.org/officeDocument/2006/relationships/hyperlink" Id="rId25" Target="consultantplus://offline/ref=29F548B5FD1BDFC66EF6052349FAA0AF65CEF6E4CCAABF90FD3976604CA0542E2988C4zF70J" TargetMode="External" /><Relationship Type="http://schemas.openxmlformats.org/officeDocument/2006/relationships/hyperlink" Id="rId35" Target="consultantplus://offline/ref=29F548B5FD1BDFC66EF6052349FAA0AF65CEF6E4CFA7BF90FD3976604CzA70J" TargetMode="External" /><Relationship Type="http://schemas.openxmlformats.org/officeDocument/2006/relationships/hyperlink" Id="rId36" Target="consultantplus://offline/ref=29F548B5FD1BDFC66EF6052349FAA0AF66CBFEEDCBA0BF90FD3976604CA0542E2988C4F203155BFCzE78J" TargetMode="External" /><Relationship Type="http://schemas.openxmlformats.org/officeDocument/2006/relationships/hyperlink" Id="rId26" Target="consultantplus://offline/ref=29F548B5FD1BDFC66EF618315FFAA0AF65C8F1EACCA3BF90FD3976604CA0542E2988C4F2031559FAzE7AJ" TargetMode="External" /><Relationship Type="http://schemas.openxmlformats.org/officeDocument/2006/relationships/hyperlink" Id="rId27" Target="consultantplus://offline/ref=29F548B5FD1BDFC66EF618315FFAA0AF65C8F1EECAA7BF90FD3976604CA0542E2988C4F2031559FAzE7AJ" TargetMode="External" /><Relationship Type="http://schemas.openxmlformats.org/officeDocument/2006/relationships/hyperlink" Id="rId34" Target="consultantplus://offline/ref=29F548B5FD1BDFC66EF6192948FAA0AF65CAF3EDC1F5E892AC6C786544F01C3E67CDC9F30015z579J" TargetMode="External" /><Relationship Type="http://schemas.openxmlformats.org/officeDocument/2006/relationships/hyperlink" Id="rId30" Target="consultantplus://offline/ref=29F548B5FD1BDFC66EF61A2D54FAA0AF62CDFFE9CDA6BF90FD3976604CzA70J" TargetMode="External" /><Relationship Type="http://schemas.openxmlformats.org/officeDocument/2006/relationships/hyperlink" Id="rId38" Target="http://sokolinka.mos.ru" TargetMode="External" /><Relationship Type="http://schemas.openxmlformats.org/officeDocument/2006/relationships/hyperlink" Id="rId37" Target="http://sokolinka.mos.ru/law-enforcement-and-security/the-prosecutor-s-office-informs/memo-of-prosecutor-s-office/detail/650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0CA03C53B420CDCBC2BCED9D2A1FE82A070A06AD4DF583F47B4885148DFF5D9A29AF50F932320782pF69J" TargetMode="External" /><Relationship Type="http://schemas.openxmlformats.org/officeDocument/2006/relationships/hyperlink" Id="rId22" Target="consultantplus://offline/ref=0CA03C53B420CDCBC2BCED9D2A1FE82A070A06AD4DF583F47B4885148DFF5D9A29AF50F932320782pF6DJ" TargetMode="External" /><Relationship Type="http://schemas.openxmlformats.org/officeDocument/2006/relationships/hyperlink" Id="rId21" Target="consultantplus://offline/ref=0CA03C53B420CDCBC2BCED9D2A1FE82A070A06AD4DF583F47B4885148DFF5D9A29AF50pF69J" TargetMode="External" /><Relationship Type="http://schemas.openxmlformats.org/officeDocument/2006/relationships/hyperlink" Id="rId24" Target="consultantplus://offline/ref=0CA03C53B420CDCBC2BCED9D2A1FE82A070A06AD4DF583F47B4885148DFF5D9A29AF50pF6CJ" TargetMode="External" /><Relationship Type="http://schemas.openxmlformats.org/officeDocument/2006/relationships/hyperlink" Id="rId23" Target="consultantplus://offline/ref=0CA03C53B420CDCBC2BCED9D2A1FE82A070A06AD4EF883F47B4885148DFF5D9A29AF50F932320783pF67J" TargetMode="External" /><Relationship Type="http://schemas.openxmlformats.org/officeDocument/2006/relationships/hyperlink" Id="rId28" Target="consultantplus://offline/ref=29F548B5FD1BDFC66EF6052349FAA0AF65CDF3E5CFA0BF90FD3976604CA0542E2988C4F203155BFAzE78J" TargetMode="External" /><Relationship Type="http://schemas.openxmlformats.org/officeDocument/2006/relationships/hyperlink" Id="rId33" Target="consultantplus://offline/ref=29F548B5FD1BDFC66EF6052349FAA0AF65CEF6E4CCAABF90FD3976604CA0542E2988C4F203155BFAzE7BJ" TargetMode="External" /><Relationship Type="http://schemas.openxmlformats.org/officeDocument/2006/relationships/hyperlink" Id="rId29" Target="consultantplus://offline/ref=29F548B5FD1BDFC66EF6052349FAA0AF65CEF6E4CCAABF90FD3976604CA0542E2988C4F2z072J" TargetMode="External" /><Relationship Type="http://schemas.openxmlformats.org/officeDocument/2006/relationships/hyperlink" Id="rId32" Target="consultantplus://offline/ref=29F548B5FD1BDFC66EF6052349FAA0AF65CEF6E4CCAABF90FD3976604CA0542E2988C4F2z075J" TargetMode="External" /><Relationship Type="http://schemas.openxmlformats.org/officeDocument/2006/relationships/hyperlink" Id="rId31" Target="consultantplus://offline/ref=29F548B5FD1BDFC66EF6052349FAA0AF65CEF6E4CCAABF90FD3976604CA0542E2988C4F2z07BJ" TargetMode="External" /><Relationship Type="http://schemas.openxmlformats.org/officeDocument/2006/relationships/hyperlink" Id="rId25" Target="consultantplus://offline/ref=29F548B5FD1BDFC66EF6052349FAA0AF65CEF6E4CCAABF90FD3976604CA0542E2988C4zF70J" TargetMode="External" /><Relationship Type="http://schemas.openxmlformats.org/officeDocument/2006/relationships/hyperlink" Id="rId35" Target="consultantplus://offline/ref=29F548B5FD1BDFC66EF6052349FAA0AF65CEF6E4CFA7BF90FD3976604CzA70J" TargetMode="External" /><Relationship Type="http://schemas.openxmlformats.org/officeDocument/2006/relationships/hyperlink" Id="rId36" Target="consultantplus://offline/ref=29F548B5FD1BDFC66EF6052349FAA0AF66CBFEEDCBA0BF90FD3976604CA0542E2988C4F203155BFCzE78J" TargetMode="External" /><Relationship Type="http://schemas.openxmlformats.org/officeDocument/2006/relationships/hyperlink" Id="rId26" Target="consultantplus://offline/ref=29F548B5FD1BDFC66EF618315FFAA0AF65C8F1EACCA3BF90FD3976604CA0542E2988C4F2031559FAzE7AJ" TargetMode="External" /><Relationship Type="http://schemas.openxmlformats.org/officeDocument/2006/relationships/hyperlink" Id="rId27" Target="consultantplus://offline/ref=29F548B5FD1BDFC66EF618315FFAA0AF65C8F1EECAA7BF90FD3976604CA0542E2988C4F2031559FAzE7AJ" TargetMode="External" /><Relationship Type="http://schemas.openxmlformats.org/officeDocument/2006/relationships/hyperlink" Id="rId34" Target="consultantplus://offline/ref=29F548B5FD1BDFC66EF6192948FAA0AF65CAF3EDC1F5E892AC6C786544F01C3E67CDC9F30015z579J" TargetMode="External" /><Relationship Type="http://schemas.openxmlformats.org/officeDocument/2006/relationships/hyperlink" Id="rId30" Target="consultantplus://offline/ref=29F548B5FD1BDFC66EF61A2D54FAA0AF62CDFFE9CDA6BF90FD3976604CzA70J" TargetMode="External" /><Relationship Type="http://schemas.openxmlformats.org/officeDocument/2006/relationships/hyperlink" Id="rId38" Target="http://sokolinka.mos.ru" TargetMode="External" /><Relationship Type="http://schemas.openxmlformats.org/officeDocument/2006/relationships/hyperlink" Id="rId37" Target="http://sokolinka.mos.ru/law-enforcement-and-security/the-prosecutor-s-office-informs/memo-of-prosecutor-s-office/detail/650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2024-07-29T06:44:49Z</dcterms:created>
  <dcterms:modified xsi:type="dcterms:W3CDTF">2024-07-29T06:44:49Z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