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96dd27de4e0de5737910b44a3aeaedcb1a8c4"/>
    <w:p>
      <w:pPr>
        <w:pStyle w:val="Heading3"/>
      </w:pPr>
      <w:r>
        <w:t xml:space="preserve">Московско-Рязанская транспортная прокуратура разъясняет: Государственная экспертиза условий труда</w:t>
      </w:r>
    </w:p>
    <w:p>
      <w:pPr>
        <w:pStyle w:val="FirstParagraph"/>
      </w:pPr>
      <w:r>
        <w:t xml:space="preserve">19.07.2017</w:t>
      </w:r>
    </w:p>
    <w:p>
      <w:pPr>
        <w:pStyle w:val="BodyText"/>
      </w:pPr>
      <w:r>
        <w:t xml:space="preserve">Согласно ч. 1 ст. 211 ТК РФ государственными нормативными требованиями охраны труда (далее - требования охраны труда) устанавливаются правила, процедуры, критерии и нормативы, направленные на сохранение жизни и здоровья работников в процессе трудовой деятельности. Существенно важным в области охраны труда является государственная экспертиза условий труда - это оценка качества проведения специальной оценки условий труда, правильности предоставления работникам гарантий и компенсаций за работу с вредными и (или) опасными условиями труда, фактических условий труда работников (ч. 11 ст. 209 ТК РФ, п. 2 Порядка проведения госэкспертизы).</w:t>
      </w:r>
    </w:p>
    <w:p>
      <w:pPr>
        <w:pStyle w:val="BodyText"/>
      </w:pPr>
      <w:r>
        <w:t xml:space="preserve">Ее проводят следующие органы госэкспертизы (ч. 1 ст. 216.1 ТК РФ, п. 1 Порядка проведения госэкспертизы):</w:t>
      </w:r>
    </w:p>
    <w:p>
      <w:pPr>
        <w:pStyle w:val="BodyText"/>
      </w:pPr>
      <w:r>
        <w:t xml:space="preserve">- федеральная инспекция труда, которая осуществляет федеральный государственный надзор за соблюдением трудового законодательства и иных нормативных правовых актов, содержащих нормы трудового права (ч. 1 ст. 353 ТК РФ);</w:t>
      </w:r>
    </w:p>
    <w:p>
      <w:pPr>
        <w:pStyle w:val="BodyText"/>
      </w:pPr>
      <w:r>
        <w:t xml:space="preserve">- органы исполнительной власти субъектов РФ в области охраны труда.</w:t>
      </w:r>
    </w:p>
    <w:p>
      <w:pPr>
        <w:pStyle w:val="BodyText"/>
      </w:pPr>
      <w:r>
        <w:t xml:space="preserve">Срок проведения экспертизы - не более 30 рабочих дней со дня регистрации в органе госэкспертизы оснований для ее проведения (абз. 1 п. 18 Порядка проведения госэкспертизы). Он может быть продлен, но не более чем на 60 рабочих дней. Случаи продления установлены в абз. 2 п. 18 Порядка проведения госэкспертизы.</w:t>
      </w:r>
    </w:p>
    <w:p>
      <w:pPr>
        <w:pStyle w:val="BodyText"/>
      </w:pPr>
      <w:r>
        <w:t xml:space="preserve">Как следует из анализа ч. 4 ст. 216.1 ТК РФ, п. 2, пп. "а" п. 3 Порядка проведения госэкспертизы, работодатель вправе инициировать проведение госэкспертизы.</w:t>
      </w:r>
    </w:p>
    <w:p>
      <w:pPr>
        <w:pStyle w:val="BodyText"/>
      </w:pPr>
      <w:r>
        <w:t xml:space="preserve">Проведение госэкспертизы целесообразно, например, если у работодателя есть сомнения в том, что по результатам спецоценки работникам правильно установлены гарантии и компенсации за работу с вредными и (или) опасными условиями труда.</w:t>
      </w:r>
    </w:p>
    <w:p>
      <w:pPr>
        <w:pStyle w:val="BodyText"/>
      </w:pPr>
      <w:r>
        <w:t xml:space="preserve">Если такие гарантии и компенсации установлены неверно, например противоречат нормам трудового законодательства, работодателю приходится нести необоснованные затраты на их предоставление.</w:t>
      </w:r>
    </w:p>
    <w:p>
      <w:pPr>
        <w:pStyle w:val="BodyText"/>
      </w:pPr>
      <w:r>
        <w:t xml:space="preserve">К расходам работодателя на предоставление работникам гарантий и компенсаций за работу с вредными и (или) опасными условиями труда, в частности, относятся следующие:</w:t>
      </w:r>
    </w:p>
    <w:p>
      <w:pPr>
        <w:pStyle w:val="BodyText"/>
      </w:pPr>
      <w:r>
        <w:t xml:space="preserve">- оплата труда в повышенном размере (ч. 1 ст. 146 ТК РФ);</w:t>
      </w:r>
    </w:p>
    <w:p>
      <w:pPr>
        <w:pStyle w:val="BodyText"/>
      </w:pPr>
      <w:r>
        <w:t xml:space="preserve">- оплата ежегодных дополнительных отпусков (ч. 1 ст. 116, ст. 117 ТК РФ);</w:t>
      </w:r>
    </w:p>
    <w:p>
      <w:pPr>
        <w:pStyle w:val="BodyText"/>
      </w:pPr>
      <w:r>
        <w:t xml:space="preserve">- затраты на направление работников на предварительные или периодические медосмотры (ч. 1, 8 ст. 213 ТК РФ).</w:t>
      </w:r>
    </w:p>
    <w:p>
      <w:pPr>
        <w:pStyle w:val="BodyText"/>
      </w:pPr>
      <w:r>
        <w:t xml:space="preserve">Существенным риском для работодателя является то, что государственный инспектор может направить в суд требование о ликвидации юридического лица по причинам нарушений требований охраны труда (пп. "е" п. 13 Постановления Правительства РФ от 01.09.2012 N 875).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http://sokolinka.mos.ru/law-enforcement-and-security/the-prosecutor-s-office-informs/memo-of-prosecutor-s-office/detail/6502060.html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65020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65020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2025-05-26T00:49:04Z</dcterms:created>
  <dcterms:modified xsi:type="dcterms:W3CDTF">2025-05-26T00:49:04Z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