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cc85a015ee1d118ba264d63fed206b7485a57"/>
    <w:p>
      <w:pPr>
        <w:pStyle w:val="Heading3"/>
      </w:pPr>
      <w:r>
        <w:t xml:space="preserve">Прокурор ВАО г. Москвы разъясняет: При выборе имени ребенка родителям придется обойтись без цифр, символов и титулов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Принятый Федеральный закон от 01.05.2017 N 94-ФЗ внес изменения в статью 58 Семейного кодекса Российской Федерации и статью 18 Федерального закона «Об актах гражданского состояния».</w:t>
      </w:r>
    </w:p>
    <w:p>
      <w:pPr>
        <w:pStyle w:val="BodyText"/>
      </w:pPr>
      <w:r>
        <w:t xml:space="preserve">Настоящим Федеральным законом установлено, что при выборе родителями имени ребенка не допускается использование в его имени цифр, буквенно-цифровых обозначений, числительных, символов и не являющихся буквами знаков, за исключением знака "дефис", или их любой комбинации либо бранных слов, указаний на ранги, должности, титулы. Запись такого имени ребенка органам ЗАГС осуществлять запрещено.</w:t>
      </w:r>
    </w:p>
    <w:p>
      <w:pPr>
        <w:pStyle w:val="BodyText"/>
      </w:pPr>
      <w:r>
        <w:t xml:space="preserve">Также определено, что при разных фамилиях родителей по их соглашению ребенку присваивается фамилия отца, фамилия матери или двойная фамилия, образованная посредством присоединения фамилий отца и матери друг к другу в любой последовательности, если иное не предусмотрено законами субъектов РФ. При этом не допускается изменение последовательности присоединения фамилий отца и матери друг к другу при образовании двойных фамилий у полнородных братьев и сестер.</w:t>
      </w:r>
    </w:p>
    <w:p>
      <w:pPr>
        <w:pStyle w:val="BodyText"/>
      </w:pPr>
      <w:r>
        <w:t xml:space="preserve">Двойная фамилия ребенка может состоять не более чем из двух слов, соединенных при написании дефисом.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http://sokolinka.mos.ru/law-enforcement-and-security/the-prosecutor-s-office-informs/memo-of-prosecutor-s-office/detail/6541918.html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5419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5419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2024-11-16T01:17:18Z</dcterms:created>
  <dcterms:modified xsi:type="dcterms:W3CDTF">2024-11-16T01:17:18Z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