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ac586126b9ba9b7637bc16616fcc9ee1731e"/>
    <w:p>
      <w:pPr>
        <w:pStyle w:val="Heading3"/>
      </w:pPr>
      <w:r>
        <w:t xml:space="preserve">Прокурор ВАО г. Москвы разъясняет: Минфин России разъяснил, как определить размер доходов индивидуальных предпринимателей, применяющих патентную систему налогообложения (ПСН) и упрощенную систему налогообложения (УСН) для целей применения ПСН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налоговые органы направлено письмо Минфина России (Письмо ФПС России от 15.06.2017 N СД-4-3/11331@ «О направлении письма Минфина России от 08.06.2017 N 03-11-09/35718»), в котором разъяснено следующее.</w:t>
      </w:r>
    </w:p>
    <w:p>
      <w:pPr>
        <w:pStyle w:val="BodyText"/>
      </w:pPr>
      <w:r>
        <w:t xml:space="preserve">Налогоплательщик считается утратившим право на применение ПСН, если с начала календарного года его доходы превысили 60 млн. рублей.</w:t>
      </w:r>
    </w:p>
    <w:p>
      <w:pPr>
        <w:pStyle w:val="BodyText"/>
      </w:pPr>
      <w:r>
        <w:t xml:space="preserve">В письме сообщается, что в случае, если налогоплательщик применяет одновременно ПСН и УСН, при определении величины доходов от реализации для целей соблюдения установленного ограничения, учитываются доходы по обоим указанным специальным налоговым режимам.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2025-06-28T22:36:54Z</dcterms:created>
  <dcterms:modified xsi:type="dcterms:W3CDTF">2025-06-28T22:36:54Z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