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f17e7d787d4c67c050fa7e975873f101669b3"/>
    <w:p>
      <w:pPr>
        <w:pStyle w:val="Heading3"/>
      </w:pPr>
      <w:r>
        <w:t xml:space="preserve">Московско-Рязанская транспортная прокуратура разъясняет: Внесены изменения в Федеральный закон от 29 июля 2017 г. № 248-ФЗ “О внесении изменений в Уголовный кодекс Российской Федерации”</w:t>
      </w:r>
    </w:p>
    <w:p>
      <w:pPr>
        <w:pStyle w:val="FirstParagraph"/>
      </w:pPr>
      <w:r>
        <w:t xml:space="preserve">01.09.2017</w:t>
      </w:r>
    </w:p>
    <w:p>
      <w:pPr>
        <w:pStyle w:val="BodyText"/>
      </w:pPr>
      <w:r>
        <w:t xml:space="preserve">Так, санкция ч. 2 ст. 110 УК РФ – «Доведение до самоубийства», теперь предусматривает наказание в виде лишения свободы на срок «от восьми до пятнадцати лет», вместо прежнего «от пяти до восьми лет».</w:t>
      </w:r>
    </w:p>
    <w:p>
      <w:pPr>
        <w:pStyle w:val="BodyText"/>
      </w:pPr>
      <w:r>
        <w:t xml:space="preserve">Данное наказание может быть назначено осужденному за совершение деяния в отношении несовершеннолетнего или лица, заведомо для виновного находящегося в беспомощном состоянии либо в материальной или иной зависимости от виновного, в отношении женщины, заведомо для виновного находящейся в состоянии беременности, либо в отношении двух или более лиц, а также, если перечисленные деяния совершены посредством использования информационно-телекоммуникационных сетей общего пользования, рассчитанных на неопределённый круг лиц.</w:t>
      </w:r>
    </w:p>
    <w:p>
      <w:pPr>
        <w:pStyle w:val="BodyText"/>
      </w:pPr>
      <w:r>
        <w:t xml:space="preserve">Кроме того, изменения внесены в ч. 4 ст. 110.1 УК РФ – «склонение к совершению самоубийства или содействие совершению самоубийства и организация деятельности, направленной на побуждение к совершению самоубийства, если указанные деяния повлекли самоубийство или покушение на самоубийство». Санкция указанной нормы закона теперь предусматривает наказание в виде лишения свободы «от пяти до десяти лет», вместо прежних «до пяти лет».</w:t>
      </w:r>
    </w:p>
    <w:p>
      <w:pPr>
        <w:pStyle w:val="BodyText"/>
      </w:pPr>
      <w:r>
        <w:t xml:space="preserve">Таким образом, названные преступления отнесены законодателем к категории особо тяжких и фактически по степени общественной опасности приравнены к умышленному убийству, что влечёт за собой изменение объёма последствий, связанных с порядком расследования уголовных дел по преступлениям этой категории, а также с применением положений Кодекса, регулирующих вопросы назначения наказания, освобождения от уголовной ответственности и наказания, определения рецидива преступления, вида исправительного учреждения, погашения судимости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http://sokolinka.mos.ru/law-enforcement-and-security/the-prosecutor-s-office-informs/memo-of-prosecutor-s-office/detail/6829637.html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8296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the-prosecutor-s-office-informs/memo-of-prosecutor-s-office/detail/68296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2025-07-04T14:40:03Z</dcterms:created>
  <dcterms:modified xsi:type="dcterms:W3CDTF">2025-07-04T14:40:03Z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