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b7112e71a04369c9c4853898bce2fe1c856bcd"/>
    <w:p>
      <w:pPr>
        <w:pStyle w:val="Heading3"/>
      </w:pPr>
      <w:r>
        <w:t xml:space="preserve">Прокурор ВАО разъясняет: банкротство работодателя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3ca/prok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336/prok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http://sokolinka.mos.ru/law-enforcement-and-security/the-prosecutor-s-office-informs/memo-of-prosecutor-s-office/detail/7865420.html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law-enforcement-and-security/the-prosecutor-s-office-informs/memo-of-prosecutor-s-office/detail/7865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law-enforcement-and-security/the-prosecutor-s-office-informs/memo-of-prosecutor-s-office/detail/7865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2024-02-03T21:09:00Z</dcterms:created>
  <dcterms:modified xsi:type="dcterms:W3CDTF">2024-02-03T21:09:00Z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