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f0d18aa3a10d29364ca55d1de2d5ad9d5e7c86"/>
    <w:p>
      <w:pPr>
        <w:pStyle w:val="Heading3"/>
      </w:pPr>
      <w:r>
        <w:t xml:space="preserve">Прокуратура разъясняет: С 12 марта 2020 вступает в силу Федеральный закон от 01.03.2020 № 35-ФЗ "О внесении изменений в отдельные законодательные акты Российской Федерации по вопросам, связанным с распоряжением средствами материнского (семейного) капитала</w:t>
      </w:r>
    </w:p>
    <w:p>
      <w:pPr>
        <w:pStyle w:val="FirstParagraph"/>
      </w:pPr>
      <w:r>
        <w:t xml:space="preserve">12.03.2020</w:t>
      </w:r>
    </w:p>
    <w:p>
      <w:pPr>
        <w:pStyle w:val="BodyText"/>
      </w:pPr>
      <w:r>
        <w:t xml:space="preserve">И.о. прокурора ВАО г. Москвы Желудков Павел Николаевич разъясняет:</w:t>
      </w:r>
    </w:p>
    <w:p>
      <w:pPr>
        <w:pStyle w:val="BodyText"/>
      </w:pPr>
      <w:r>
        <w:t xml:space="preserve">С 12 марта 2020 вступает в силу Федеральный закон от 01.03.2020 № 35-ФЗ "О внесении изменений в отдельные законодательные акты Российской Федерации по вопросам, связанным с распоряжением средствами материнского (семейного) капитала" (за исключением отдельных положений, вступающих в силу в иные сроки).</w:t>
      </w:r>
    </w:p>
    <w:p>
      <w:pPr>
        <w:pStyle w:val="BodyText"/>
      </w:pPr>
      <w:r>
        <w:t xml:space="preserve">Президент России Владимир Путин утвердил федеральный закон, вносящий изменения в программу материнского капитала. Принятые поправки увеличивают сумму господдержки семей, закрепляют новые возможности использования материнского капитала, делают распоряжение средствами более простым и удобным, а также продлевают срок действия программы.</w:t>
      </w:r>
    </w:p>
    <w:p>
      <w:pPr>
        <w:pStyle w:val="BodyText"/>
      </w:pPr>
      <w:r>
        <w:t xml:space="preserve">Семьям с детьми предоставлены новые возможности получения и использования маткапитала.</w:t>
      </w:r>
    </w:p>
    <w:p>
      <w:pPr>
        <w:pStyle w:val="BodyText"/>
      </w:pPr>
      <w:r>
        <w:t xml:space="preserve">С середины апреля 2020 года ПФР приступает к проактивной выдаче сертификатов. То есть после появления ребенка маткапитал будет оформлен автоматически, и семья сможет приступить к распоряжению средствами, не обращаясь за самим сертификатом.</w:t>
      </w:r>
    </w:p>
    <w:p>
      <w:pPr>
        <w:pStyle w:val="BodyText"/>
      </w:pPr>
      <w:r>
        <w:t xml:space="preserve">ПФР напоминает, что семьи, в которых начиная с 1 января 2020 года появился первенец, получили право на материнский капитал в размере 466 617 рублей.</w:t>
      </w:r>
    </w:p>
    <w:p>
      <w:pPr>
        <w:pStyle w:val="BodyText"/>
      </w:pPr>
      <w:r>
        <w:t xml:space="preserve">Для семей, в которых с 2020 года появился второй или последующий ребенок, материнский капитал составит 616 617 рублей.</w:t>
      </w:r>
    </w:p>
    <w:p>
      <w:pPr>
        <w:pStyle w:val="BodyText"/>
      </w:pPr>
      <w:r>
        <w:t xml:space="preserve">Начиная с 2021 года сокращаются сроки на выдачу сертификата (не больше пяти рабочих дней), на рассмотрение заявки о распоряжении средствами (не больше десяти рабочих дней). В 2020 году это пятнадцать рабочих дней и один месяц соответственно.</w:t>
      </w:r>
    </w:p>
    <w:p>
      <w:pPr>
        <w:pStyle w:val="BodyText"/>
      </w:pPr>
      <w:r>
        <w:t xml:space="preserve">Также появилась возможность более оперативного направления материнского капитала на погашение кредитов - соответствующее заявление теперь можно подавать непосредственно в банк, без обращения в ПФР; использовать материнский капитал для строительства жилого дома на садовом участке.</w:t>
      </w:r>
    </w:p>
    <w:p>
      <w:pPr>
        <w:pStyle w:val="BodyText"/>
      </w:pPr>
      <w:r>
        <w:t xml:space="preserve">Действие программы материнского капитала продлено на пять лет - до конца 2026 года. Все семьи, в которых до этого времени начиная с 2020-го появятся новорожденные или приемные дети, получат право на меры государственной поддержки в виде материнского капитала».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http://sokolinka.mos.ru/law-enforcement-and-security/the-prosecutor-s-office-informs/memo-of-prosecutor-s-office/detail/8752931.html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Соколиная гора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law-enforcement-and-security/the-prosecutor-s-office-informs/memo-of-prosecutor-s-office/detail/87529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law-enforcement-and-security/the-prosecutor-s-office-informs/memo-of-prosecutor-s-office/detail/87529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2025-03-11T00:52:55Z</dcterms:created>
  <dcterms:modified xsi:type="dcterms:W3CDTF">2025-03-11T00:52:55Z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