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5da18e0c8eff234474a74b55884206ae4f8fc1"/>
    <w:p>
      <w:pPr>
        <w:pStyle w:val="Heading3"/>
      </w:pPr>
      <w:r>
        <w:t xml:space="preserve">Профилактика антивитального поведения несовершеннолетних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drawing>
          <wp:inline>
            <wp:extent cx="5334000" cy="37741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антивитальная%20памятка%202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4164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inka.mos.ru/www/антивитальная%20памятка%202-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41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http://sokolinka.mos.ru/law-enforcement-and-security/the-prosecutor-s-office-informs/memo-of-prosecutor-s-office/detail/9717422.html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law-enforcement-and-security/the-prosecutor-s-office-informs/memo-of-prosecutor-s-office/detail/97174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inka.mos.ru" TargetMode="External" /><Relationship Type="http://schemas.openxmlformats.org/officeDocument/2006/relationships/hyperlink" Id="rId26" Target="http://sokolinka.mos.ru/law-enforcement-and-security/the-prosecutor-s-office-informs/memo-of-prosecutor-s-office/detail/97174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2024-09-19T02:34:06Z</dcterms:created>
  <dcterms:modified xsi:type="dcterms:W3CDTF">2024-09-19T02:34:06Z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