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f7651c056c44535c83172946e2a53e8018792b"/>
    <w:p>
      <w:pPr>
        <w:pStyle w:val="Heading3"/>
      </w:pPr>
      <w:r>
        <w:t xml:space="preserve">Распределение средств финансового стимулирования префектур административных округов города Москвы в 2025 году в части доходов от взимания платы за размещение транспортных средств на парковочных местах в зонах организации платных городских парковок</w:t>
      </w:r>
    </w:p>
    <w:p>
      <w:pPr>
        <w:pStyle w:val="FirstParagraph"/>
      </w:pPr>
      <w:r>
        <w:t xml:space="preserve">03.04.2025</w:t>
      </w:r>
    </w:p>
    <w:p>
      <w:pPr>
        <w:pStyle w:val="BodyText"/>
      </w:pPr>
      <w:r>
        <w:drawing>
          <wp:inline>
            <wp:extent cx="5334000" cy="586897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Аннотация%202025-03-31%20072320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868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http://sokolinka.mos.ru/officially/relevant-information/detail/12895229.html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952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952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2025-05-16T09:22:51Z</dcterms:created>
  <dcterms:modified xsi:type="dcterms:W3CDTF">2025-05-16T09:22:51Z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