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c99728665ef3c1daf26a45211dbc30b3bf23a0"/>
    <w:p>
      <w:pPr>
        <w:pStyle w:val="Heading3"/>
      </w:pPr>
      <w:r>
        <w:t xml:space="preserve">Жители Соколиной Горы могут внести предложения в проект реновации в районе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br/>
      </w:r>
      <w:r>
        <w:rPr>
          <w:bCs/>
          <w:b/>
        </w:rPr>
        <w:t xml:space="preserve">На портале «Активный гражданин» стартовали общественные слушания по программе реновации в районе. Обсуждение открылось 18 мая.</w:t>
      </w:r>
    </w:p>
    <w:p>
      <w:pPr>
        <w:pStyle w:val="BodyText"/>
      </w:pPr>
      <w:r>
        <w:t xml:space="preserve">«В районе появятся новые объекты социальной инфраструктуры: детские сады, школы, поликлиника, физкультурно-оздоровительный комплекс, центр социального обслуживания, детский досуговый центр», — сообщается в теме слушаний на портале «Активный гражданин». — «Первые этажи жилой застройки будут отданы под объекты социально-бытового обслуживания. Для обеспечения жителей местами постоянного хранения автомобилей предусмотрены подземные парковки. В проекте планируется развитие территории в рамках концепции „двор без машин“, когда парковки располагаются по внешнему периметру квартала, а внутри расположены зелёные зоны, детские и игровые площадки».</w:t>
      </w:r>
    </w:p>
    <w:p>
      <w:pPr>
        <w:pStyle w:val="BodyText"/>
      </w:pPr>
      <w:r>
        <w:t xml:space="preserve">На портале жители могут найти исчерпывающие сведения с визуализацией и планы по двум проектам планировки в районе, а также оставить свои предложения и пожелания.</w:t>
      </w:r>
    </w:p>
    <w:p>
      <w:pPr>
        <w:pStyle w:val="BodyText"/>
      </w:pPr>
      <w:r>
        <w:t xml:space="preserve">С проектами можно ознакомиться по ссылкам:</w:t>
      </w:r>
      <w:r>
        <w:t xml:space="preserve"> </w:t>
      </w:r>
      <w:hyperlink r:id="rId20">
        <w:r>
          <w:rPr>
            <w:rStyle w:val="Hyperlink"/>
          </w:rPr>
          <w:t xml:space="preserve">https://ag.mos.ru/debate/97</w:t>
        </w:r>
      </w:hyperlink>
      <w:r>
        <w:t xml:space="preserve"> </w:t>
      </w:r>
      <w:r>
        <w:t xml:space="preserve">и </w:t>
      </w:r>
      <w:hyperlink r:id="rId21">
        <w:r>
          <w:rPr>
            <w:rStyle w:val="Hyperlink"/>
          </w:rPr>
          <w:t xml:space="preserve">https://ag.mos.ru/debate/98.</w:t>
        </w:r>
      </w:hyperlink>
    </w:p>
    <w:p>
      <w:pPr>
        <w:pStyle w:val="BodyText"/>
      </w:pPr>
      <w:r>
        <w:t xml:space="preserve">Принять участие в слушаниях можно до 31 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http://sokolinka.mos.ru/presscenter/news/detail/8905561.html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presscenter/news/detail/8905561.html" TargetMode="External" /><Relationship Type="http://schemas.openxmlformats.org/officeDocument/2006/relationships/hyperlink" Id="rId20" Target="https://ag.mos.ru/debate/97" TargetMode="External" /><Relationship Type="http://schemas.openxmlformats.org/officeDocument/2006/relationships/hyperlink" Id="rId21" Target="https://ag.mos.ru/debate/98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presscenter/news/detail/8905561.html" TargetMode="External" /><Relationship Type="http://schemas.openxmlformats.org/officeDocument/2006/relationships/hyperlink" Id="rId20" Target="https://ag.mos.ru/debate/97" TargetMode="External" /><Relationship Type="http://schemas.openxmlformats.org/officeDocument/2006/relationships/hyperlink" Id="rId21" Target="https://ag.mos.ru/debate/98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2024-09-17T10:11:50Z</dcterms:created>
  <dcterms:modified xsi:type="dcterms:W3CDTF">2024-09-17T10:11:50Z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