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8d38f06ad0d77cbe0ba6245637175b4173e2a98"/>
    <w:p>
      <w:pPr>
        <w:pStyle w:val="Heading3"/>
      </w:pPr>
      <w:r>
        <w:t xml:space="preserve">Производственно-технологический комплекс: особенности кадастрового учета</w:t>
      </w:r>
    </w:p>
    <w:p>
      <w:pPr>
        <w:pStyle w:val="FirstParagraph"/>
      </w:pPr>
      <w:r>
        <w:t xml:space="preserve">11.02.2022</w:t>
      </w:r>
    </w:p>
    <w:p>
      <w:pPr>
        <w:pStyle w:val="BodyText"/>
      </w:pPr>
      <w:r>
        <w:rPr>
          <w:iCs/>
          <w:i/>
        </w:rPr>
        <w:t xml:space="preserve">Кадастровая палата по Москве разъяснила о возможности выделить</w:t>
      </w:r>
      <w:r>
        <w:br/>
      </w:r>
      <w:r>
        <w:rPr>
          <w:iCs/>
          <w:i/>
        </w:rPr>
        <w:t xml:space="preserve">из состава производственно-технологического комплекса (ПТК) отдельные объекты</w:t>
      </w:r>
    </w:p>
    <w:p>
      <w:pPr>
        <w:pStyle w:val="BodyText"/>
      </w:pPr>
      <w:r>
        <w:rPr>
          <w:bCs/>
          <w:b/>
        </w:rPr>
        <w:t xml:space="preserve">У граждан и юридических лиц могут возникнуть вопросы, по которым требуются экспертные консультации, например, об особенностях учетно-регистрационных действий в отношении сложных объектов капитального строительства, таких как ПТК. О том, как включить в гражданский оборот объекты из состава ПТК, какие для этого нужны документы и о требованиях</w:t>
      </w:r>
      <w:r>
        <w:br/>
      </w:r>
      <w:r>
        <w:rPr>
          <w:bCs/>
          <w:b/>
        </w:rPr>
        <w:t xml:space="preserve">к их подготовке рассказали эксперты Кадастровой палаты по Москве.</w:t>
      </w:r>
    </w:p>
    <w:p>
      <w:pPr>
        <w:pStyle w:val="BodyText"/>
      </w:pPr>
      <w:r>
        <w:rPr>
          <w:bCs/>
          <w:b/>
        </w:rPr>
        <w:t xml:space="preserve">Вопрос:</w:t>
      </w:r>
      <w:r>
        <w:t xml:space="preserve"> </w:t>
      </w:r>
      <w:r>
        <w:t xml:space="preserve">Возможно ли выделение из состава производственно- технологического комплекса (ПТК) отдельных объектов недвижимости, если ПТК поставлен на государственный кадастровый учет как единый объект недвижимого имущества?</w:t>
      </w:r>
    </w:p>
    <w:p>
      <w:pPr>
        <w:pStyle w:val="BodyText"/>
      </w:pPr>
      <w:r>
        <w:rPr>
          <w:bCs/>
          <w:b/>
        </w:rPr>
        <w:t xml:space="preserve">Ответ:</w:t>
      </w:r>
      <w:r>
        <w:t xml:space="preserve"> </w:t>
      </w:r>
      <w:r>
        <w:t xml:space="preserve">В настоящее время, законодательством не урегулированы вопросы преобразования объектов капитального строительства без выполнения строительных работ, в том числе способы преобразования объектов капитального строительства, представляющих собой сложные вещи, таких как ПТК.</w:t>
      </w:r>
    </w:p>
    <w:p>
      <w:pPr>
        <w:pStyle w:val="BodyText"/>
      </w:pPr>
      <w:r>
        <w:t xml:space="preserve">Согласно положениям Гражданского кодекса РФ, собственник вправе</w:t>
      </w:r>
      <w:r>
        <w:br/>
      </w:r>
      <w:r>
        <w:t xml:space="preserve">по своему усмотрению совершать в отношении принадлежащего ему имущества любые действия, не противоречащие закону и иным правовым актам</w:t>
      </w:r>
      <w:r>
        <w:br/>
      </w:r>
      <w:r>
        <w:t xml:space="preserve">и не нарушающие права и охраняемые законом интересы других лиц.</w:t>
      </w:r>
    </w:p>
    <w:p>
      <w:pPr>
        <w:pStyle w:val="BodyText"/>
      </w:pPr>
      <w:r>
        <w:t xml:space="preserve">В соответствии со статьей 252 Гражданского кодекса РФ «выдел» может осуществляться только в случае, если объект недвижимости находится в общей долевой собственности, что допускает выделение доли в праве собственности</w:t>
      </w:r>
      <w:r>
        <w:br/>
      </w:r>
      <w:r>
        <w:t xml:space="preserve">на такой объект.</w:t>
      </w:r>
    </w:p>
    <w:p>
      <w:pPr>
        <w:pStyle w:val="BodyText"/>
      </w:pPr>
      <w:r>
        <w:rPr>
          <w:bCs/>
          <w:b/>
        </w:rPr>
        <w:t xml:space="preserve">Вопрос</w:t>
      </w:r>
      <w:r>
        <w:t xml:space="preserve">: На основании какого документа объект недвижимости исключается</w:t>
      </w:r>
      <w:r>
        <w:br/>
      </w:r>
      <w:r>
        <w:t xml:space="preserve">из состава ПТК и включается в гражданский оборот, если в отношении него</w:t>
      </w:r>
      <w:r>
        <w:br/>
      </w:r>
      <w:r>
        <w:t xml:space="preserve">не проводились строительные работы, в том числе реконструкция?</w:t>
      </w:r>
    </w:p>
    <w:p>
      <w:pPr>
        <w:pStyle w:val="BodyText"/>
      </w:pPr>
      <w:r>
        <w:rPr>
          <w:bCs/>
          <w:b/>
        </w:rPr>
        <w:t xml:space="preserve">Ответ</w:t>
      </w:r>
      <w:r>
        <w:t xml:space="preserve">: В случае, если постановка на кадастровый учет исходного объекта ПТК осуществлялась не в качестве единого недвижимого комплекса как неделимой вещи, исключение объекта недвижимости происходит на основании решения собственника о разделе ПТК, с подтверждением, что в результате такого раздела образуемые объекты, ранее входившие в состав ПТК, сохраняют свое назначение и образуются</w:t>
      </w:r>
      <w:r>
        <w:br/>
      </w:r>
      <w:r>
        <w:t xml:space="preserve">не в результате реконструкции.</w:t>
      </w:r>
    </w:p>
    <w:p>
      <w:pPr>
        <w:pStyle w:val="BodyText"/>
      </w:pPr>
      <w:r>
        <w:rPr>
          <w:bCs/>
          <w:b/>
        </w:rPr>
        <w:t xml:space="preserve">Вопрос:</w:t>
      </w:r>
      <w:r>
        <w:t xml:space="preserve"> </w:t>
      </w:r>
      <w:r>
        <w:t xml:space="preserve">Как подготовить технический план в вышеуказанном случае?</w:t>
      </w:r>
    </w:p>
    <w:p>
      <w:pPr>
        <w:pStyle w:val="BodyText"/>
      </w:pPr>
      <w:r>
        <w:rPr>
          <w:bCs/>
          <w:b/>
        </w:rPr>
        <w:t xml:space="preserve">Ответ:</w:t>
      </w:r>
      <w:r>
        <w:t xml:space="preserve"> </w:t>
      </w:r>
      <w:r>
        <w:t xml:space="preserve">Подготовка данного документа осуществляется в соответствии</w:t>
      </w:r>
      <w:r>
        <w:br/>
      </w:r>
      <w:r>
        <w:t xml:space="preserve">с положениями частей 8, 11 статьи 24, частей 1, 4 статьи 71 Федерального закона</w:t>
      </w:r>
      <w:r>
        <w:br/>
      </w:r>
      <w:r>
        <w:t xml:space="preserve">от 13.07.2015 № 218-ФЗ «О государственной регистрации недвижимости», а также требований к подготовке технического плана и состава содержащихся в нем сведений.</w:t>
      </w:r>
    </w:p>
    <w:p>
      <w:pPr>
        <w:pStyle w:val="BodyText"/>
      </w:pPr>
      <w:r>
        <w:t xml:space="preserve">При составлении технических планов сведения об образуемых объектах недвижимости (за исключением сведений об их местоположении в границах земельного участка и площади, площади застройки) указываются на основании представленных заказчиком кадастровых работ документов, послуживших основанием для внесения сведений о ПТК в Единый государственный реестр недвижимости (ЕГРН).</w:t>
      </w:r>
    </w:p>
    <w:p>
      <w:pPr>
        <w:pStyle w:val="BodyText"/>
      </w:pPr>
      <w:r>
        <w:t xml:space="preserve">В разделе «Заключение кадастрового инженера» технического плана указывается информация об измененном составе ПТК (исходного объекта), в том числе об идентичности параметров (характеристик) образуемых объектов параметрам соответствующих объектов, включенных до преобразования в ПТК, учтенного</w:t>
      </w:r>
      <w:r>
        <w:br/>
      </w:r>
      <w:r>
        <w:t xml:space="preserve">в таком составе в реестре недвижимости.</w:t>
      </w:r>
    </w:p>
    <w:p>
      <w:pPr>
        <w:pStyle w:val="BodyText"/>
      </w:pPr>
      <w:r>
        <w:t xml:space="preserve">Государственный кадастровый учет и государственная регистрация прав осуществляются одновременно на все объекты, образуемые в результате преобразования (раздела) ПТК. Всем объектам недвижимости – и новым,</w:t>
      </w:r>
      <w:r>
        <w:br/>
      </w:r>
      <w:r>
        <w:t xml:space="preserve">и исходному, в результате раздела присваиваются кадастровые номера.</w:t>
      </w:r>
    </w:p>
    <w:p>
      <w:pPr>
        <w:pStyle w:val="BodyText"/>
      </w:pPr>
      <w:r>
        <w:t xml:space="preserve">Также возможна подготовка технического плана в связи с разделом ПТК,</w:t>
      </w:r>
      <w:r>
        <w:br/>
      </w:r>
      <w:r>
        <w:t xml:space="preserve">при котором образуется объект недвижимости, исключаемый из состава ПТК,</w:t>
      </w:r>
      <w:r>
        <w:br/>
      </w:r>
      <w:r>
        <w:t xml:space="preserve">а исходный объект недвижимости сохраняется в измененном составе (не снимается</w:t>
      </w:r>
      <w:r>
        <w:br/>
      </w:r>
      <w:r>
        <w:t xml:space="preserve">с кадастрового учета, кадастровый номер ПТК не изменяется).</w:t>
      </w:r>
    </w:p>
    <w:p>
      <w:pPr>
        <w:pStyle w:val="BodyText"/>
      </w:pPr>
      <w:r>
        <w:t xml:space="preserve">При этом следует отметить, что в силу части 1 статьи 29 Закона</w:t>
      </w:r>
      <w:r>
        <w:br/>
      </w:r>
      <w:r>
        <w:t xml:space="preserve">о регистрации проведение правовой экспертизы документов, представленных</w:t>
      </w:r>
      <w:r>
        <w:br/>
      </w:r>
      <w:r>
        <w:t xml:space="preserve">для осуществления государственного кадастрового учета и/или государственной регистрации прав, на предмет наличия или отсутствия оснований</w:t>
      </w:r>
      <w:r>
        <w:br/>
      </w:r>
      <w:r>
        <w:t xml:space="preserve">для приостановления государственной регистрации/кадастрового учета</w:t>
      </w:r>
      <w:r>
        <w:br/>
      </w:r>
      <w:r>
        <w:t xml:space="preserve">либо для отказа осуществляются государственными регистраторами в каждом случае индивидуально после приема заявления о государственной регистрации прав</w:t>
      </w:r>
      <w:r>
        <w:br/>
      </w:r>
      <w:r>
        <w:t xml:space="preserve">и прилагаемых к нему документов.</w:t>
      </w:r>
    </w:p>
    <w:p>
      <w:pPr>
        <w:pStyle w:val="BodyText"/>
      </w:pPr>
      <w:r>
        <w:rPr>
          <w:bCs/>
          <w:b/>
        </w:rPr>
        <w:t xml:space="preserve">Вопрос:</w:t>
      </w:r>
      <w:r>
        <w:t xml:space="preserve"> </w:t>
      </w:r>
      <w:r>
        <w:t xml:space="preserve">Требуется ли представлять в орган регистрации прав разрешение</w:t>
      </w:r>
      <w:r>
        <w:br/>
      </w:r>
      <w:r>
        <w:t xml:space="preserve">на ввод объекта в эксплуатацию для осуществления учетно-регистрационных действий в связи с разделом объектов недвижимости?</w:t>
      </w:r>
    </w:p>
    <w:p>
      <w:pPr>
        <w:pStyle w:val="BodyText"/>
      </w:pPr>
      <w:r>
        <w:rPr>
          <w:bCs/>
          <w:b/>
        </w:rPr>
        <w:t xml:space="preserve">Ответ:</w:t>
      </w:r>
      <w:r>
        <w:t xml:space="preserve"> </w:t>
      </w:r>
      <w:r>
        <w:t xml:space="preserve">Представление в орган регистрации прав разрешения на ввод объекта</w:t>
      </w:r>
      <w:r>
        <w:br/>
      </w:r>
      <w:r>
        <w:t xml:space="preserve">в эксплуатацию для осуществления учетно-регистрационных действий в связи</w:t>
      </w:r>
      <w:r>
        <w:br/>
      </w:r>
      <w:r>
        <w:t xml:space="preserve">с разделом объектов недвижимости необходимо только в случае,</w:t>
      </w:r>
      <w:r>
        <w:br/>
      </w:r>
      <w:r>
        <w:t xml:space="preserve">если выполнялись строительные работы, для которых требуется получение разрешения на строительство и (или) реконструкцию.</w:t>
      </w:r>
    </w:p>
    <w:p>
      <w:pPr>
        <w:pStyle w:val="BodyText"/>
      </w:pPr>
      <w:r>
        <w:rPr>
          <w:iCs/>
          <w:i/>
        </w:rPr>
        <w:t xml:space="preserve">«Специалисты Кадастровой палаты по Москве на регулярной основе консультируют москвичей, проводят горячие телефонные линии, вебинары, а также семинары по наиболее актуальным вопросам в сфере оборота недвижимости. Разъяснения по особенностям учетно-регистрационных действий в отношении сложных объектов капитального строительства особенно важны для недопущения ошибок при подаче документов в целях осуществления учетно-регистрационных действий»,</w:t>
      </w:r>
      <w:r>
        <w:t xml:space="preserve"> </w:t>
      </w:r>
      <w:r>
        <w:t xml:space="preserve">– сказал</w:t>
      </w:r>
      <w:r>
        <w:t xml:space="preserve"> </w:t>
      </w:r>
      <w:r>
        <w:rPr>
          <w:bCs/>
          <w:b/>
        </w:rPr>
        <w:t xml:space="preserve">заместитель директора Кадастровой палаты по Москве Алексей Некрасов</w:t>
      </w:r>
      <w:r>
        <w:t xml:space="preserve">.</w:t>
      </w:r>
    </w:p>
    <w:p>
      <w:pPr>
        <w:pStyle w:val="BodyText"/>
      </w:pPr>
      <w:r>
        <w:t xml:space="preserve">Напомним, что по вопросам, касающимся деятельности учреждения, можно обращаться по номеру Ведомственного центра телефонного обслуживания (ВЦТО)</w:t>
      </w:r>
      <w:r>
        <w:br/>
      </w:r>
      <w:r>
        <w:t xml:space="preserve">8-800-100-34-34 (звонок бесплатный). Эксперты ведомства дадут разъяснения</w:t>
      </w:r>
      <w:r>
        <w:br/>
      </w:r>
      <w:r>
        <w:t xml:space="preserve">и консультации по темам, связанным с осуществлением государственного кадастрового учёта, регистрации прав, предоставлением сведений из ЕГРН.</w:t>
      </w:r>
    </w:p>
    <w:p>
      <w:pPr>
        <w:pStyle w:val="BodyText"/>
      </w:pPr>
      <w:r>
        <w:rPr>
          <w:bCs/>
          <w:b/>
        </w:rPr>
        <w:t xml:space="preserve">Контакты для СМИ</w:t>
      </w:r>
    </w:p>
    <w:p>
      <w:pPr>
        <w:pStyle w:val="BodyText"/>
      </w:pPr>
      <w:r>
        <w:t xml:space="preserve">Пресс-служба Кадастровой палаты по Москве</w:t>
      </w:r>
    </w:p>
    <w:p>
      <w:pPr>
        <w:pStyle w:val="BodyText"/>
      </w:pPr>
      <w:r>
        <w:t xml:space="preserve">8(495)587-78-55 (вн.24-12)</w:t>
      </w:r>
    </w:p>
    <w:p>
      <w:pPr>
        <w:pStyle w:val="BodyText"/>
      </w:pPr>
      <w:hyperlink r:id="rId20">
        <w:r>
          <w:rPr>
            <w:rStyle w:val="Hyperlink"/>
          </w:rPr>
          <w:t xml:space="preserve">press@77.kadastr.ru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kadastr.ru</w:t>
        </w:r>
      </w:hyperlink>
    </w:p>
    <w:p>
      <w:pPr>
        <w:pStyle w:val="BodyText"/>
      </w:pPr>
      <w:r>
        <w:t xml:space="preserve">Москва, шоссе Энтузиастов, д. 14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http://sokolinka.mos.ru/rosreestr/detail/10613558.html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Соколиная гора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sokolinka.mos.ru" TargetMode="External" /><Relationship Type="http://schemas.openxmlformats.org/officeDocument/2006/relationships/hyperlink" Id="rId22" Target="http://sokolinka.mos.ru/rosreestr/detail/10613558.html" TargetMode="External" /><Relationship Type="http://schemas.openxmlformats.org/officeDocument/2006/relationships/hyperlink" Id="rId21" Target="https://kadastr.ru/" TargetMode="External" /><Relationship Type="http://schemas.openxmlformats.org/officeDocument/2006/relationships/hyperlink" Id="rId20" Target="mailto:press@77.kadastr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sokolinka.mos.ru" TargetMode="External" /><Relationship Type="http://schemas.openxmlformats.org/officeDocument/2006/relationships/hyperlink" Id="rId22" Target="http://sokolinka.mos.ru/rosreestr/detail/10613558.html" TargetMode="External" /><Relationship Type="http://schemas.openxmlformats.org/officeDocument/2006/relationships/hyperlink" Id="rId21" Target="https://kadastr.ru/" TargetMode="External" /><Relationship Type="http://schemas.openxmlformats.org/officeDocument/2006/relationships/hyperlink" Id="rId20" Target="mailto:press@77.kadastr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2025-05-25T16:48:29Z</dcterms:created>
  <dcterms:modified xsi:type="dcterms:W3CDTF">2025-05-25T16:48:29Z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